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64F" w:rsidRPr="001F7972" w:rsidRDefault="00F7664F" w:rsidP="001F7972">
      <w:pPr>
        <w:widowControl/>
        <w:spacing w:line="240" w:lineRule="auto"/>
        <w:jc w:val="center"/>
        <w:rPr>
          <w:rFonts w:ascii="Palatino Linotype" w:eastAsia="Palatino Linotype" w:hAnsi="Palatino Linotype" w:cs="Palatino Linotype"/>
          <w:b/>
          <w:color w:val="000000"/>
          <w:sz w:val="28"/>
          <w:szCs w:val="28"/>
        </w:rPr>
      </w:pPr>
      <w:r w:rsidRPr="001F7972">
        <w:rPr>
          <w:rFonts w:ascii="Palatino Linotype" w:eastAsia="Palatino Linotype" w:hAnsi="Palatino Linotype" w:cs="Palatino Linotype"/>
          <w:b/>
          <w:color w:val="000000"/>
          <w:sz w:val="28"/>
          <w:szCs w:val="28"/>
        </w:rPr>
        <w:t xml:space="preserve">Perceived Service Fairness Dan Revisit Intention Galatama: Peran Mediasi Customer Satisfaction </w:t>
      </w:r>
    </w:p>
    <w:p w:rsidR="00F7664F" w:rsidRPr="001F7972" w:rsidRDefault="00F7664F" w:rsidP="001F7972">
      <w:pPr>
        <w:widowControl/>
        <w:spacing w:line="240" w:lineRule="auto"/>
        <w:jc w:val="center"/>
        <w:rPr>
          <w:rFonts w:ascii="Palatino Linotype" w:eastAsia="Palatino Linotype" w:hAnsi="Palatino Linotype" w:cs="Palatino Linotype"/>
          <w:b/>
          <w:color w:val="000000"/>
          <w:sz w:val="20"/>
        </w:rPr>
      </w:pPr>
    </w:p>
    <w:p w:rsidR="00F7664F" w:rsidRPr="001F7972" w:rsidRDefault="00F7664F" w:rsidP="001F7972">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b/>
          <w:color w:val="000000"/>
          <w:sz w:val="20"/>
          <w:lang w:val="id-ID"/>
        </w:rPr>
      </w:pPr>
      <w:r w:rsidRPr="001F7972">
        <w:rPr>
          <w:rFonts w:ascii="Palatino Linotype" w:eastAsia="Palatino Linotype" w:hAnsi="Palatino Linotype" w:cs="Palatino Linotype"/>
          <w:b/>
          <w:color w:val="000000"/>
          <w:sz w:val="20"/>
        </w:rPr>
        <w:t>Theodora Ameli</w:t>
      </w:r>
      <w:r w:rsidR="001F7972">
        <w:rPr>
          <w:rFonts w:ascii="Palatino Linotype" w:eastAsia="Palatino Linotype" w:hAnsi="Palatino Linotype" w:cs="Palatino Linotype"/>
          <w:b/>
          <w:color w:val="000000"/>
          <w:sz w:val="20"/>
        </w:rPr>
        <w:t>a</w:t>
      </w:r>
      <w:r w:rsidR="001F7972" w:rsidRPr="001F7972">
        <w:rPr>
          <w:rFonts w:ascii="Palatino Linotype" w:eastAsia="Palatino Linotype" w:hAnsi="Palatino Linotype" w:cs="Palatino Linotype"/>
          <w:b/>
          <w:color w:val="000000"/>
          <w:sz w:val="20"/>
          <w:vertAlign w:val="superscript"/>
          <w:lang w:val="id-ID"/>
        </w:rPr>
        <w:t>1</w:t>
      </w:r>
      <w:r w:rsidR="001F7972">
        <w:rPr>
          <w:rFonts w:ascii="Palatino Linotype" w:eastAsia="Palatino Linotype" w:hAnsi="Palatino Linotype" w:cs="Palatino Linotype"/>
          <w:b/>
          <w:color w:val="000000"/>
          <w:sz w:val="20"/>
        </w:rPr>
        <w:t>, Rudiyanto</w:t>
      </w:r>
      <w:r w:rsidR="001F7972" w:rsidRPr="001F7972">
        <w:rPr>
          <w:rFonts w:ascii="Palatino Linotype" w:eastAsia="Palatino Linotype" w:hAnsi="Palatino Linotype" w:cs="Palatino Linotype"/>
          <w:b/>
          <w:color w:val="000000"/>
          <w:sz w:val="20"/>
          <w:vertAlign w:val="superscript"/>
          <w:lang w:val="id-ID"/>
        </w:rPr>
        <w:t>2</w:t>
      </w:r>
      <w:r w:rsidR="001F7972">
        <w:rPr>
          <w:rFonts w:ascii="Palatino Linotype" w:eastAsia="Palatino Linotype" w:hAnsi="Palatino Linotype" w:cs="Palatino Linotype"/>
          <w:b/>
          <w:color w:val="000000"/>
          <w:sz w:val="20"/>
        </w:rPr>
        <w:t>, Ferdian Arie Bowo</w:t>
      </w:r>
      <w:r w:rsidR="001F7972" w:rsidRPr="001F7972">
        <w:rPr>
          <w:rFonts w:ascii="Palatino Linotype" w:eastAsia="Palatino Linotype" w:hAnsi="Palatino Linotype" w:cs="Palatino Linotype"/>
          <w:b/>
          <w:color w:val="000000"/>
          <w:sz w:val="20"/>
          <w:vertAlign w:val="superscript"/>
          <w:lang w:val="id-ID"/>
        </w:rPr>
        <w:t>3</w:t>
      </w:r>
    </w:p>
    <w:p w:rsidR="00C57F80" w:rsidRPr="001F7972" w:rsidRDefault="00C120EA" w:rsidP="001F7972">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20"/>
        </w:rPr>
      </w:pPr>
      <w:r w:rsidRPr="001F7972">
        <w:rPr>
          <w:rFonts w:ascii="Palatino Linotype" w:eastAsia="Palatino Linotype" w:hAnsi="Palatino Linotype" w:cs="Palatino Linotype"/>
          <w:color w:val="000000"/>
          <w:sz w:val="20"/>
          <w:vertAlign w:val="superscript"/>
        </w:rPr>
        <w:t>1</w:t>
      </w:r>
      <w:r w:rsidR="00F7664F" w:rsidRPr="001F7972">
        <w:rPr>
          <w:rFonts w:ascii="Palatino Linotype" w:eastAsia="Palatino Linotype" w:hAnsi="Palatino Linotype" w:cs="Palatino Linotype"/>
          <w:color w:val="000000"/>
          <w:sz w:val="20"/>
          <w:vertAlign w:val="superscript"/>
        </w:rPr>
        <w:t>23</w:t>
      </w:r>
      <w:r w:rsidRPr="001F7972">
        <w:rPr>
          <w:rFonts w:ascii="Palatino Linotype" w:eastAsia="Palatino Linotype" w:hAnsi="Palatino Linotype" w:cs="Palatino Linotype"/>
          <w:color w:val="000000"/>
          <w:sz w:val="20"/>
        </w:rPr>
        <w:tab/>
      </w:r>
      <w:r w:rsidR="001F7972">
        <w:rPr>
          <w:rFonts w:ascii="Palatino Linotype" w:eastAsia="Palatino Linotype" w:hAnsi="Palatino Linotype" w:cs="Palatino Linotype"/>
          <w:color w:val="000000"/>
          <w:sz w:val="20"/>
          <w:lang w:val="id-ID"/>
        </w:rPr>
        <w:t xml:space="preserve"> </w:t>
      </w:r>
      <w:r w:rsidR="00F7664F" w:rsidRPr="001F7972">
        <w:rPr>
          <w:rFonts w:ascii="Palatino Linotype" w:eastAsia="Palatino Linotype" w:hAnsi="Palatino Linotype" w:cs="Palatino Linotype"/>
          <w:color w:val="000000"/>
          <w:sz w:val="20"/>
        </w:rPr>
        <w:t>Universitas Jayabaya</w:t>
      </w:r>
      <w:r w:rsidRPr="001F7972">
        <w:rPr>
          <w:rFonts w:ascii="Palatino Linotype" w:eastAsia="Palatino Linotype" w:hAnsi="Palatino Linotype" w:cs="Palatino Linotype"/>
          <w:color w:val="000000"/>
          <w:sz w:val="20"/>
        </w:rPr>
        <w:t xml:space="preserve">, </w:t>
      </w:r>
      <w:r w:rsidR="00F7664F" w:rsidRPr="001F7972">
        <w:rPr>
          <w:rFonts w:ascii="Palatino Linotype" w:eastAsia="Palatino Linotype" w:hAnsi="Palatino Linotype" w:cs="Palatino Linotype"/>
          <w:color w:val="000000"/>
          <w:sz w:val="20"/>
        </w:rPr>
        <w:t>Indonesia</w:t>
      </w:r>
      <w:r w:rsidRPr="001F7972">
        <w:rPr>
          <w:rFonts w:ascii="Palatino Linotype" w:eastAsia="Palatino Linotype" w:hAnsi="Palatino Linotype" w:cs="Palatino Linotype"/>
          <w:color w:val="000000"/>
          <w:sz w:val="20"/>
        </w:rPr>
        <w:t xml:space="preserve">; </w:t>
      </w:r>
    </w:p>
    <w:p w:rsidR="00C57F80" w:rsidRPr="001F7972" w:rsidRDefault="00C120EA" w:rsidP="001F7972">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20"/>
        </w:rPr>
      </w:pPr>
      <w:r w:rsidRPr="001F7972">
        <w:rPr>
          <w:rFonts w:ascii="Palatino Linotype" w:eastAsia="Palatino Linotype" w:hAnsi="Palatino Linotype" w:cs="Palatino Linotype"/>
          <w:color w:val="000000"/>
          <w:sz w:val="20"/>
        </w:rPr>
        <w:t xml:space="preserve">* Correspondence e-mail; </w:t>
      </w:r>
      <w:r w:rsidR="00F7664F" w:rsidRPr="001F7972">
        <w:rPr>
          <w:rFonts w:ascii="Palatino Linotype" w:eastAsia="Palatino Linotype" w:hAnsi="Palatino Linotype" w:cs="Palatino Linotype"/>
          <w:color w:val="000000"/>
          <w:sz w:val="20"/>
        </w:rPr>
        <w:t>2024010161003@pascajayabaya.ac.id, rudiyanto@pascajayabaya.ac.id, ferdian.ab@pascajayabaya.ac.id</w:t>
      </w:r>
    </w:p>
    <w:tbl>
      <w:tblPr>
        <w:tblStyle w:val="a"/>
        <w:tblW w:w="9072"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C57F80" w:rsidRPr="001F7972">
        <w:tc>
          <w:tcPr>
            <w:tcW w:w="9072" w:type="dxa"/>
          </w:tcPr>
          <w:p w:rsidR="00C57F80" w:rsidRPr="001F7972" w:rsidRDefault="00C57F80" w:rsidP="001F7972">
            <w:pPr>
              <w:widowControl/>
              <w:spacing w:line="240" w:lineRule="auto"/>
              <w:jc w:val="center"/>
              <w:rPr>
                <w:rFonts w:ascii="Palatino Linotype" w:eastAsia="Palatino Linotype" w:hAnsi="Palatino Linotype" w:cs="Palatino Linotype"/>
                <w:color w:val="000000"/>
              </w:rPr>
            </w:pPr>
          </w:p>
        </w:tc>
      </w:tr>
    </w:tbl>
    <w:p w:rsidR="00C57F80" w:rsidRPr="001F7972" w:rsidRDefault="00C57F80" w:rsidP="001F7972">
      <w:pPr>
        <w:pBdr>
          <w:top w:val="nil"/>
          <w:left w:val="nil"/>
          <w:bottom w:val="nil"/>
          <w:right w:val="nil"/>
          <w:between w:val="nil"/>
        </w:pBdr>
        <w:spacing w:line="276" w:lineRule="auto"/>
        <w:rPr>
          <w:rFonts w:ascii="Palatino Linotype" w:eastAsia="Palatino Linotype" w:hAnsi="Palatino Linotype" w:cs="Palatino Linotype"/>
          <w:color w:val="000000"/>
        </w:rPr>
      </w:pPr>
    </w:p>
    <w:tbl>
      <w:tblPr>
        <w:tblStyle w:val="a0"/>
        <w:tblW w:w="9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2"/>
        <w:gridCol w:w="280"/>
        <w:gridCol w:w="7053"/>
      </w:tblGrid>
      <w:tr w:rsidR="00C57F80" w:rsidRPr="001F7972">
        <w:trPr>
          <w:trHeight w:val="368"/>
          <w:jc w:val="center"/>
        </w:trPr>
        <w:tc>
          <w:tcPr>
            <w:tcW w:w="1832" w:type="dxa"/>
            <w:tcBorders>
              <w:top w:val="nil"/>
              <w:left w:val="nil"/>
              <w:bottom w:val="single" w:sz="4" w:space="0" w:color="000000"/>
              <w:right w:val="nil"/>
            </w:tcBorders>
            <w:shd w:val="clear" w:color="auto" w:fill="auto"/>
          </w:tcPr>
          <w:p w:rsidR="00C57F80" w:rsidRPr="001F7972" w:rsidRDefault="00C120EA" w:rsidP="001F7972">
            <w:pPr>
              <w:widowControl/>
              <w:pBdr>
                <w:top w:val="nil"/>
                <w:left w:val="nil"/>
                <w:bottom w:val="nil"/>
                <w:right w:val="nil"/>
                <w:between w:val="nil"/>
              </w:pBdr>
              <w:tabs>
                <w:tab w:val="center" w:pos="4706"/>
                <w:tab w:val="right" w:pos="9356"/>
              </w:tabs>
              <w:spacing w:line="230" w:lineRule="auto"/>
              <w:rPr>
                <w:rFonts w:ascii="Palatino Linotype" w:eastAsia="Palatino Linotype" w:hAnsi="Palatino Linotype" w:cs="Palatino Linotype"/>
                <w:b/>
                <w:color w:val="000000"/>
                <w:sz w:val="20"/>
              </w:rPr>
            </w:pPr>
            <w:r w:rsidRPr="001F7972">
              <w:rPr>
                <w:rFonts w:ascii="Palatino Linotype" w:eastAsia="Palatino Linotype" w:hAnsi="Palatino Linotype" w:cs="Palatino Linotype"/>
                <w:b/>
                <w:color w:val="000000"/>
                <w:sz w:val="20"/>
              </w:rPr>
              <w:t>Article history</w:t>
            </w:r>
          </w:p>
        </w:tc>
        <w:tc>
          <w:tcPr>
            <w:tcW w:w="280" w:type="dxa"/>
            <w:tcBorders>
              <w:top w:val="nil"/>
              <w:left w:val="nil"/>
              <w:bottom w:val="nil"/>
              <w:right w:val="nil"/>
            </w:tcBorders>
            <w:shd w:val="clear" w:color="auto" w:fill="auto"/>
          </w:tcPr>
          <w:p w:rsidR="00C57F80" w:rsidRPr="001F7972" w:rsidRDefault="00C57F80" w:rsidP="001F7972">
            <w:pPr>
              <w:widowControl/>
              <w:pBdr>
                <w:top w:val="nil"/>
                <w:left w:val="nil"/>
                <w:bottom w:val="nil"/>
                <w:right w:val="nil"/>
                <w:between w:val="nil"/>
              </w:pBdr>
              <w:tabs>
                <w:tab w:val="center" w:pos="4706"/>
                <w:tab w:val="right" w:pos="9356"/>
              </w:tabs>
              <w:spacing w:line="230" w:lineRule="auto"/>
              <w:jc w:val="both"/>
              <w:rPr>
                <w:rFonts w:ascii="Palatino Linotype" w:eastAsia="Palatino Linotype" w:hAnsi="Palatino Linotype" w:cs="Palatino Linotype"/>
                <w:b/>
                <w:color w:val="000000"/>
                <w:sz w:val="20"/>
              </w:rPr>
            </w:pPr>
          </w:p>
        </w:tc>
        <w:tc>
          <w:tcPr>
            <w:tcW w:w="7053" w:type="dxa"/>
            <w:tcBorders>
              <w:top w:val="nil"/>
              <w:left w:val="nil"/>
              <w:bottom w:val="single" w:sz="4" w:space="0" w:color="000000"/>
              <w:right w:val="nil"/>
            </w:tcBorders>
            <w:shd w:val="clear" w:color="auto" w:fill="auto"/>
          </w:tcPr>
          <w:p w:rsidR="00C57F80" w:rsidRPr="001F7972" w:rsidRDefault="001F7972" w:rsidP="001F7972">
            <w:pPr>
              <w:widowControl/>
              <w:tabs>
                <w:tab w:val="left" w:pos="2442"/>
                <w:tab w:val="left" w:pos="4549"/>
              </w:tabs>
              <w:spacing w:line="240" w:lineRule="auto"/>
              <w:jc w:val="both"/>
              <w:rPr>
                <w:rFonts w:ascii="Palatino Linotype" w:eastAsia="Palatino Linotype" w:hAnsi="Palatino Linotype" w:cs="Palatino Linotype"/>
                <w:sz w:val="20"/>
              </w:rPr>
            </w:pPr>
            <w:r w:rsidRPr="001F7972">
              <w:rPr>
                <w:rFonts w:ascii="Palatino Linotype" w:eastAsia="Palatino Linotype" w:hAnsi="Palatino Linotype" w:cs="Palatino Linotype"/>
                <w:sz w:val="20"/>
              </w:rPr>
              <w:t>Submitted: 202</w:t>
            </w:r>
            <w:r w:rsidRPr="001F7972">
              <w:rPr>
                <w:rFonts w:ascii="Palatino Linotype" w:eastAsia="Palatino Linotype" w:hAnsi="Palatino Linotype" w:cs="Palatino Linotype"/>
                <w:sz w:val="20"/>
                <w:lang w:val="id-ID"/>
              </w:rPr>
              <w:t>6</w:t>
            </w:r>
            <w:r w:rsidRPr="001F7972">
              <w:rPr>
                <w:rFonts w:ascii="Palatino Linotype" w:eastAsia="Palatino Linotype" w:hAnsi="Palatino Linotype" w:cs="Palatino Linotype"/>
                <w:sz w:val="20"/>
              </w:rPr>
              <w:t>/0</w:t>
            </w:r>
            <w:r w:rsidRPr="001F7972">
              <w:rPr>
                <w:rFonts w:ascii="Palatino Linotype" w:eastAsia="Palatino Linotype" w:hAnsi="Palatino Linotype" w:cs="Palatino Linotype"/>
                <w:sz w:val="20"/>
                <w:lang w:val="id-ID"/>
              </w:rPr>
              <w:t>4</w:t>
            </w:r>
            <w:r w:rsidRPr="001F7972">
              <w:rPr>
                <w:rFonts w:ascii="Palatino Linotype" w:eastAsia="Palatino Linotype" w:hAnsi="Palatino Linotype" w:cs="Palatino Linotype"/>
                <w:sz w:val="20"/>
              </w:rPr>
              <w:t>/01;</w:t>
            </w:r>
            <w:r w:rsidRPr="001F7972">
              <w:rPr>
                <w:rFonts w:ascii="Palatino Linotype" w:eastAsia="Palatino Linotype" w:hAnsi="Palatino Linotype" w:cs="Palatino Linotype"/>
                <w:sz w:val="20"/>
              </w:rPr>
              <w:tab/>
              <w:t>Revised: 202</w:t>
            </w:r>
            <w:r w:rsidRPr="001F7972">
              <w:rPr>
                <w:rFonts w:ascii="Palatino Linotype" w:eastAsia="Palatino Linotype" w:hAnsi="Palatino Linotype" w:cs="Palatino Linotype"/>
                <w:sz w:val="20"/>
                <w:lang w:val="id-ID"/>
              </w:rPr>
              <w:t>6</w:t>
            </w:r>
            <w:r w:rsidRPr="001F7972">
              <w:rPr>
                <w:rFonts w:ascii="Palatino Linotype" w:eastAsia="Palatino Linotype" w:hAnsi="Palatino Linotype" w:cs="Palatino Linotype"/>
                <w:sz w:val="20"/>
              </w:rPr>
              <w:t>/0</w:t>
            </w:r>
            <w:r w:rsidRPr="001F7972">
              <w:rPr>
                <w:rFonts w:ascii="Palatino Linotype" w:eastAsia="Palatino Linotype" w:hAnsi="Palatino Linotype" w:cs="Palatino Linotype"/>
                <w:sz w:val="20"/>
                <w:lang w:val="id-ID"/>
              </w:rPr>
              <w:t>5</w:t>
            </w:r>
            <w:r w:rsidRPr="001F7972">
              <w:rPr>
                <w:rFonts w:ascii="Palatino Linotype" w:eastAsia="Palatino Linotype" w:hAnsi="Palatino Linotype" w:cs="Palatino Linotype"/>
                <w:sz w:val="20"/>
              </w:rPr>
              <w:t>/11;</w:t>
            </w:r>
            <w:r w:rsidRPr="001F7972">
              <w:rPr>
                <w:rFonts w:ascii="Palatino Linotype" w:eastAsia="Palatino Linotype" w:hAnsi="Palatino Linotype" w:cs="Palatino Linotype"/>
                <w:sz w:val="20"/>
              </w:rPr>
              <w:tab/>
              <w:t>Accepted: 202</w:t>
            </w:r>
            <w:r w:rsidRPr="001F7972">
              <w:rPr>
                <w:rFonts w:ascii="Palatino Linotype" w:eastAsia="Palatino Linotype" w:hAnsi="Palatino Linotype" w:cs="Palatino Linotype"/>
                <w:sz w:val="20"/>
                <w:lang w:val="id-ID"/>
              </w:rPr>
              <w:t>6</w:t>
            </w:r>
            <w:r w:rsidRPr="001F7972">
              <w:rPr>
                <w:rFonts w:ascii="Palatino Linotype" w:eastAsia="Palatino Linotype" w:hAnsi="Palatino Linotype" w:cs="Palatino Linotype"/>
                <w:sz w:val="20"/>
              </w:rPr>
              <w:t>/0</w:t>
            </w:r>
            <w:r w:rsidRPr="001F7972">
              <w:rPr>
                <w:rFonts w:ascii="Palatino Linotype" w:eastAsia="Palatino Linotype" w:hAnsi="Palatino Linotype" w:cs="Palatino Linotype"/>
                <w:sz w:val="20"/>
                <w:lang w:val="id-ID"/>
              </w:rPr>
              <w:t>7</w:t>
            </w:r>
            <w:r w:rsidRPr="001F7972">
              <w:rPr>
                <w:rFonts w:ascii="Palatino Linotype" w:eastAsia="Palatino Linotype" w:hAnsi="Palatino Linotype" w:cs="Palatino Linotype"/>
                <w:sz w:val="20"/>
              </w:rPr>
              <w:t>/</w:t>
            </w:r>
            <w:r w:rsidRPr="001F7972">
              <w:rPr>
                <w:rFonts w:ascii="Palatino Linotype" w:eastAsia="Palatino Linotype" w:hAnsi="Palatino Linotype" w:cs="Palatino Linotype"/>
                <w:sz w:val="20"/>
                <w:lang w:val="id-ID"/>
              </w:rPr>
              <w:t>17</w:t>
            </w:r>
          </w:p>
        </w:tc>
      </w:tr>
      <w:tr w:rsidR="00C57F80" w:rsidRPr="001F7972">
        <w:trPr>
          <w:trHeight w:val="2686"/>
          <w:jc w:val="center"/>
        </w:trPr>
        <w:tc>
          <w:tcPr>
            <w:tcW w:w="1832" w:type="dxa"/>
            <w:tcBorders>
              <w:top w:val="single" w:sz="4" w:space="0" w:color="000000"/>
              <w:left w:val="nil"/>
              <w:bottom w:val="single" w:sz="4" w:space="0" w:color="000000"/>
              <w:right w:val="nil"/>
            </w:tcBorders>
            <w:shd w:val="clear" w:color="auto" w:fill="auto"/>
          </w:tcPr>
          <w:p w:rsidR="00C57F80" w:rsidRPr="001F7972" w:rsidRDefault="00C120EA" w:rsidP="001F7972">
            <w:pPr>
              <w:widowControl/>
              <w:spacing w:line="240" w:lineRule="auto"/>
              <w:ind w:left="37"/>
              <w:jc w:val="both"/>
              <w:rPr>
                <w:rFonts w:ascii="Palatino Linotype" w:eastAsia="Palatino Linotype" w:hAnsi="Palatino Linotype" w:cs="Palatino Linotype"/>
                <w:color w:val="000000"/>
                <w:sz w:val="18"/>
                <w:szCs w:val="18"/>
              </w:rPr>
            </w:pPr>
            <w:r w:rsidRPr="001F7972">
              <w:rPr>
                <w:rFonts w:ascii="Palatino Linotype" w:eastAsia="Palatino Linotype" w:hAnsi="Palatino Linotype" w:cs="Palatino Linotype"/>
                <w:b/>
                <w:color w:val="000000"/>
                <w:sz w:val="20"/>
              </w:rPr>
              <w:t>Abstract</w:t>
            </w:r>
          </w:p>
          <w:p w:rsidR="00C57F80" w:rsidRPr="001F7972" w:rsidRDefault="00C57F80" w:rsidP="001F7972">
            <w:pPr>
              <w:widowControl/>
              <w:spacing w:line="259" w:lineRule="auto"/>
              <w:rPr>
                <w:rFonts w:ascii="Palatino Linotype" w:eastAsia="Palatino Linotype" w:hAnsi="Palatino Linotype" w:cs="Palatino Linotype"/>
                <w:sz w:val="22"/>
                <w:szCs w:val="22"/>
              </w:rPr>
            </w:pPr>
          </w:p>
          <w:p w:rsidR="00C57F80" w:rsidRPr="001F7972" w:rsidRDefault="00C57F80" w:rsidP="001F7972">
            <w:pPr>
              <w:widowControl/>
              <w:spacing w:line="259" w:lineRule="auto"/>
              <w:rPr>
                <w:rFonts w:ascii="Palatino Linotype" w:eastAsia="Palatino Linotype" w:hAnsi="Palatino Linotype" w:cs="Palatino Linotype"/>
                <w:sz w:val="22"/>
                <w:szCs w:val="22"/>
              </w:rPr>
            </w:pPr>
          </w:p>
          <w:p w:rsidR="00C57F80" w:rsidRPr="001F7972" w:rsidRDefault="00C57F80" w:rsidP="001F7972">
            <w:pPr>
              <w:widowControl/>
              <w:spacing w:line="259" w:lineRule="auto"/>
              <w:rPr>
                <w:rFonts w:ascii="Palatino Linotype" w:eastAsia="Palatino Linotype" w:hAnsi="Palatino Linotype" w:cs="Palatino Linotype"/>
                <w:sz w:val="22"/>
                <w:szCs w:val="22"/>
              </w:rPr>
            </w:pPr>
          </w:p>
          <w:p w:rsidR="00C57F80" w:rsidRPr="001F7972" w:rsidRDefault="00C57F80" w:rsidP="001F7972">
            <w:pPr>
              <w:widowControl/>
              <w:spacing w:line="259" w:lineRule="auto"/>
              <w:rPr>
                <w:rFonts w:ascii="Palatino Linotype" w:eastAsia="Palatino Linotype" w:hAnsi="Palatino Linotype" w:cs="Palatino Linotype"/>
                <w:sz w:val="22"/>
                <w:szCs w:val="22"/>
              </w:rPr>
            </w:pPr>
          </w:p>
          <w:p w:rsidR="00C57F80" w:rsidRPr="001F7972" w:rsidRDefault="00C57F80" w:rsidP="001F7972">
            <w:pPr>
              <w:widowControl/>
              <w:spacing w:line="259" w:lineRule="auto"/>
              <w:rPr>
                <w:rFonts w:ascii="Palatino Linotype" w:eastAsia="Palatino Linotype" w:hAnsi="Palatino Linotype" w:cs="Palatino Linotype"/>
                <w:sz w:val="22"/>
                <w:szCs w:val="22"/>
              </w:rPr>
            </w:pPr>
          </w:p>
        </w:tc>
        <w:tc>
          <w:tcPr>
            <w:tcW w:w="280" w:type="dxa"/>
            <w:tcBorders>
              <w:top w:val="nil"/>
              <w:left w:val="nil"/>
              <w:bottom w:val="nil"/>
              <w:right w:val="nil"/>
            </w:tcBorders>
            <w:shd w:val="clear" w:color="auto" w:fill="auto"/>
          </w:tcPr>
          <w:p w:rsidR="00C57F80" w:rsidRPr="001F7972" w:rsidRDefault="00C57F80" w:rsidP="001F7972">
            <w:pPr>
              <w:widowControl/>
              <w:spacing w:line="240" w:lineRule="auto"/>
              <w:jc w:val="both"/>
              <w:rPr>
                <w:rFonts w:ascii="Palatino Linotype" w:eastAsia="Palatino Linotype" w:hAnsi="Palatino Linotype" w:cs="Palatino Linotype"/>
                <w:sz w:val="18"/>
                <w:szCs w:val="18"/>
              </w:rPr>
            </w:pPr>
          </w:p>
        </w:tc>
        <w:tc>
          <w:tcPr>
            <w:tcW w:w="7053" w:type="dxa"/>
            <w:tcBorders>
              <w:top w:val="single" w:sz="4" w:space="0" w:color="000000"/>
              <w:left w:val="nil"/>
              <w:right w:val="nil"/>
            </w:tcBorders>
            <w:shd w:val="clear" w:color="auto" w:fill="auto"/>
          </w:tcPr>
          <w:p w:rsidR="00C57F80" w:rsidRPr="001F7972" w:rsidRDefault="008B3B10" w:rsidP="001F7972">
            <w:pPr>
              <w:widowControl/>
              <w:spacing w:line="240" w:lineRule="auto"/>
              <w:ind w:right="-12"/>
              <w:jc w:val="both"/>
              <w:rPr>
                <w:rFonts w:ascii="Palatino Linotype" w:eastAsia="Palatino Linotype" w:hAnsi="Palatino Linotype" w:cs="Palatino Linotype"/>
                <w:color w:val="000000"/>
                <w:sz w:val="20"/>
              </w:rPr>
            </w:pPr>
            <w:r w:rsidRPr="001F7972">
              <w:rPr>
                <w:rFonts w:ascii="Palatino Linotype" w:eastAsia="Palatino Linotype" w:hAnsi="Palatino Linotype" w:cs="Palatino Linotype"/>
                <w:color w:val="000000"/>
                <w:sz w:val="20"/>
              </w:rPr>
              <w:t>The challenge of decreasing visitor volume at Galatama Lele Oiko Fishing, East Jakarta, reflects the problem of meeting participant expectations amidst the intense competition for special interest recreation. This study was conducted with the aim of empirically testing the effect of Perceived Service Fairness mediated by Customer Satisfaction on Revisit Intention among Galatama Lele Oiko Fishing, East Jakarta participants. The quantitative approach in this study was through the distribution of closed questionnaire instruments to respondents as a sample population. The study population included all participants who actively fished at Galatama Lele Oiko Fishing, East Jakarta, between August 2025 and January 2026. Based on a non-probability sampling technique with a purposive sampling method, a sample of 161 respondents was collected, exceeding the minimum threshold of the Slovin formula of 99.04. The data analysis stage was carried out using the Structural Equation Modeling (SEM) method with the help of SmartPLS 4.0. The findings from the hypothesis testing through bootstrapping proved that Perceived Service Fairness mediated by Customer Satisfaction had a positive and significant impact on Revisit Intention. Based on the Adjusted R-Square value, the combination of Perceived Service Fairness and Customer Satisfaction simultaneously has a moderate ability to encourage Revisit Intention of 58.9% with an external model factor of 79.2%, although the Perceived Service Fairness variable partially has a weak direct influence in explaining Customer Satisfaction of 20.8% with an external model factor of 41.1%.</w:t>
            </w:r>
          </w:p>
        </w:tc>
      </w:tr>
      <w:tr w:rsidR="00C57F80" w:rsidRPr="001F7972">
        <w:trPr>
          <w:trHeight w:val="368"/>
          <w:jc w:val="center"/>
        </w:trPr>
        <w:tc>
          <w:tcPr>
            <w:tcW w:w="1832" w:type="dxa"/>
            <w:tcBorders>
              <w:top w:val="single" w:sz="4" w:space="0" w:color="000000"/>
              <w:left w:val="nil"/>
              <w:bottom w:val="single" w:sz="4" w:space="0" w:color="000000"/>
              <w:right w:val="nil"/>
            </w:tcBorders>
            <w:shd w:val="clear" w:color="auto" w:fill="auto"/>
          </w:tcPr>
          <w:p w:rsidR="00C57F80" w:rsidRPr="001F7972" w:rsidRDefault="00C120EA" w:rsidP="001F7972">
            <w:pPr>
              <w:widowControl/>
              <w:spacing w:line="240" w:lineRule="auto"/>
              <w:jc w:val="both"/>
              <w:rPr>
                <w:rFonts w:ascii="Palatino Linotype" w:eastAsia="Palatino Linotype" w:hAnsi="Palatino Linotype" w:cs="Palatino Linotype"/>
                <w:b/>
                <w:i/>
                <w:sz w:val="20"/>
              </w:rPr>
            </w:pPr>
            <w:r w:rsidRPr="001F7972">
              <w:rPr>
                <w:rFonts w:ascii="Palatino Linotype" w:eastAsia="Palatino Linotype" w:hAnsi="Palatino Linotype" w:cs="Palatino Linotype"/>
                <w:b/>
                <w:sz w:val="20"/>
              </w:rPr>
              <w:t>Keywords</w:t>
            </w:r>
          </w:p>
        </w:tc>
        <w:tc>
          <w:tcPr>
            <w:tcW w:w="280" w:type="dxa"/>
            <w:tcBorders>
              <w:top w:val="nil"/>
              <w:left w:val="nil"/>
              <w:bottom w:val="nil"/>
              <w:right w:val="nil"/>
            </w:tcBorders>
            <w:shd w:val="clear" w:color="auto" w:fill="auto"/>
          </w:tcPr>
          <w:p w:rsidR="00C57F80" w:rsidRPr="001F7972" w:rsidRDefault="00C57F80" w:rsidP="001F7972">
            <w:pPr>
              <w:widowControl/>
              <w:spacing w:line="240" w:lineRule="auto"/>
              <w:jc w:val="both"/>
              <w:rPr>
                <w:rFonts w:ascii="Palatino Linotype" w:eastAsia="Palatino Linotype" w:hAnsi="Palatino Linotype" w:cs="Palatino Linotype"/>
                <w:sz w:val="20"/>
              </w:rPr>
            </w:pPr>
          </w:p>
        </w:tc>
        <w:tc>
          <w:tcPr>
            <w:tcW w:w="7053" w:type="dxa"/>
            <w:tcBorders>
              <w:top w:val="nil"/>
              <w:left w:val="nil"/>
              <w:bottom w:val="single" w:sz="4" w:space="0" w:color="000000"/>
              <w:right w:val="nil"/>
            </w:tcBorders>
            <w:shd w:val="clear" w:color="auto" w:fill="auto"/>
          </w:tcPr>
          <w:p w:rsidR="00C57F80" w:rsidRPr="001F7972" w:rsidRDefault="008B3B10" w:rsidP="001F7972">
            <w:pPr>
              <w:widowControl/>
              <w:spacing w:line="240" w:lineRule="auto"/>
              <w:ind w:right="-12"/>
              <w:jc w:val="both"/>
              <w:rPr>
                <w:rFonts w:ascii="Palatino Linotype" w:eastAsia="Palatino Linotype" w:hAnsi="Palatino Linotype" w:cs="Palatino Linotype"/>
                <w:sz w:val="20"/>
              </w:rPr>
            </w:pPr>
            <w:r w:rsidRPr="001F7972">
              <w:rPr>
                <w:rFonts w:ascii="Palatino Linotype" w:eastAsia="Palatino Linotype" w:hAnsi="Palatino Linotype" w:cs="Palatino Linotype"/>
                <w:sz w:val="20"/>
              </w:rPr>
              <w:t>Persepsi Keadilan Layanan, Niat Kunjungan Ulang, Kepuasan Pelanggan, Galatama Lele</w:t>
            </w:r>
          </w:p>
        </w:tc>
      </w:tr>
      <w:tr w:rsidR="00C57F80" w:rsidRPr="001F7972">
        <w:trPr>
          <w:trHeight w:val="368"/>
          <w:jc w:val="center"/>
        </w:trPr>
        <w:tc>
          <w:tcPr>
            <w:tcW w:w="1832" w:type="dxa"/>
            <w:tcBorders>
              <w:top w:val="single" w:sz="4" w:space="0" w:color="000000"/>
              <w:left w:val="nil"/>
              <w:bottom w:val="single" w:sz="4" w:space="0" w:color="000000"/>
              <w:right w:val="nil"/>
            </w:tcBorders>
            <w:shd w:val="clear" w:color="auto" w:fill="auto"/>
          </w:tcPr>
          <w:p w:rsidR="00C57F80" w:rsidRPr="001F7972" w:rsidRDefault="00C120EA" w:rsidP="001F7972">
            <w:pPr>
              <w:widowControl/>
              <w:spacing w:line="240" w:lineRule="auto"/>
              <w:rPr>
                <w:rFonts w:ascii="Palatino Linotype" w:eastAsia="Palatino Linotype" w:hAnsi="Palatino Linotype" w:cs="Palatino Linotype"/>
                <w:b/>
                <w:sz w:val="20"/>
              </w:rPr>
            </w:pPr>
            <w:r w:rsidRPr="001F7972">
              <w:rPr>
                <w:rFonts w:ascii="Palatino Linotype" w:hAnsi="Palatino Linotype"/>
                <w:noProof/>
                <w:lang w:val="en-US"/>
              </w:rPr>
              <w:drawing>
                <wp:inline distT="0" distB="0" distL="0" distR="0" wp14:anchorId="61F64883" wp14:editId="4048AD9F">
                  <wp:extent cx="842880" cy="319712"/>
                  <wp:effectExtent l="0" t="0" r="0" b="0"/>
                  <wp:docPr id="1821908891"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9"/>
                          <a:srcRect/>
                          <a:stretch>
                            <a:fillRect/>
                          </a:stretch>
                        </pic:blipFill>
                        <pic:spPr>
                          <a:xfrm>
                            <a:off x="0" y="0"/>
                            <a:ext cx="842880" cy="319712"/>
                          </a:xfrm>
                          <a:prstGeom prst="rect">
                            <a:avLst/>
                          </a:prstGeom>
                          <a:ln/>
                        </pic:spPr>
                      </pic:pic>
                    </a:graphicData>
                  </a:graphic>
                </wp:inline>
              </w:drawing>
            </w:r>
          </w:p>
        </w:tc>
        <w:tc>
          <w:tcPr>
            <w:tcW w:w="280" w:type="dxa"/>
            <w:tcBorders>
              <w:top w:val="nil"/>
              <w:left w:val="nil"/>
              <w:bottom w:val="nil"/>
              <w:right w:val="nil"/>
            </w:tcBorders>
            <w:shd w:val="clear" w:color="auto" w:fill="auto"/>
          </w:tcPr>
          <w:p w:rsidR="00C57F80" w:rsidRPr="001F7972" w:rsidRDefault="00C57F80" w:rsidP="001F7972">
            <w:pPr>
              <w:widowControl/>
              <w:spacing w:line="240" w:lineRule="auto"/>
              <w:jc w:val="both"/>
              <w:rPr>
                <w:rFonts w:ascii="Palatino Linotype" w:eastAsia="Palatino Linotype" w:hAnsi="Palatino Linotype" w:cs="Palatino Linotype"/>
                <w:sz w:val="20"/>
              </w:rPr>
            </w:pPr>
          </w:p>
        </w:tc>
        <w:tc>
          <w:tcPr>
            <w:tcW w:w="7053" w:type="dxa"/>
            <w:tcBorders>
              <w:top w:val="single" w:sz="4" w:space="0" w:color="000000"/>
              <w:left w:val="nil"/>
              <w:bottom w:val="single" w:sz="4" w:space="0" w:color="000000"/>
              <w:right w:val="nil"/>
            </w:tcBorders>
            <w:shd w:val="clear" w:color="auto" w:fill="auto"/>
          </w:tcPr>
          <w:p w:rsidR="00C57F80" w:rsidRPr="001F7972" w:rsidRDefault="00C120EA" w:rsidP="001F7972">
            <w:pPr>
              <w:spacing w:line="240" w:lineRule="auto"/>
              <w:ind w:right="-108"/>
              <w:jc w:val="both"/>
              <w:rPr>
                <w:rFonts w:ascii="Palatino Linotype" w:eastAsia="Palatino Linotype" w:hAnsi="Palatino Linotype" w:cs="Palatino Linotype"/>
                <w:sz w:val="20"/>
              </w:rPr>
            </w:pPr>
            <w:r w:rsidRPr="001F7972">
              <w:rPr>
                <w:rFonts w:ascii="Palatino Linotype" w:eastAsia="Cambria" w:hAnsi="Palatino Linotype" w:cs="Cambria"/>
                <w:b/>
              </w:rPr>
              <w:t xml:space="preserve">© </w:t>
            </w:r>
            <w:r w:rsidRPr="001F7972">
              <w:rPr>
                <w:rFonts w:ascii="Palatino Linotype" w:eastAsia="Palatino Linotype" w:hAnsi="Palatino Linotype" w:cs="Palatino Linotype"/>
                <w:b/>
              </w:rPr>
              <w:t>202</w:t>
            </w:r>
            <w:r w:rsidR="007E3976" w:rsidRPr="001F7972">
              <w:rPr>
                <w:rFonts w:ascii="Palatino Linotype" w:eastAsia="Palatino Linotype" w:hAnsi="Palatino Linotype" w:cs="Palatino Linotype"/>
                <w:b/>
                <w:lang w:val="id-ID"/>
              </w:rPr>
              <w:t>6</w:t>
            </w:r>
            <w:r w:rsidRPr="001F7972">
              <w:rPr>
                <w:rFonts w:ascii="Palatino Linotype" w:eastAsia="Palatino Linotype" w:hAnsi="Palatino Linotype" w:cs="Palatino Linotype"/>
                <w:b/>
              </w:rPr>
              <w:t xml:space="preserve"> by the authors</w:t>
            </w:r>
            <w:r w:rsidRPr="001F7972">
              <w:rPr>
                <w:rFonts w:ascii="Palatino Linotype" w:eastAsia="Palatino Linotype" w:hAnsi="Palatino Linotype" w:cs="Palatino Linotype"/>
              </w:rPr>
              <w:t xml:space="preserve">. Submitted for possible open access publication under the terms and conditions of the Creative Commons Attribution 4.0 International (CC BY SA) license, </w:t>
            </w:r>
            <w:hyperlink r:id="rId10">
              <w:r w:rsidRPr="001F7972">
                <w:rPr>
                  <w:rFonts w:ascii="Palatino Linotype" w:eastAsia="Palatino Linotype" w:hAnsi="Palatino Linotype" w:cs="Palatino Linotype"/>
                  <w:color w:val="000000"/>
                  <w:szCs w:val="16"/>
                </w:rPr>
                <w:t>https://creativecommons.org/licenses/by-sa/4.0/</w:t>
              </w:r>
            </w:hyperlink>
            <w:r w:rsidRPr="001F7972">
              <w:rPr>
                <w:rFonts w:ascii="Palatino Linotype" w:eastAsia="Palatino Linotype" w:hAnsi="Palatino Linotype" w:cs="Palatino Linotype"/>
              </w:rPr>
              <w:t>.</w:t>
            </w:r>
          </w:p>
        </w:tc>
      </w:tr>
    </w:tbl>
    <w:p w:rsidR="00C57F80" w:rsidRPr="001F7972" w:rsidRDefault="00C57F80" w:rsidP="001F7972">
      <w:pPr>
        <w:widowControl/>
        <w:spacing w:line="276" w:lineRule="auto"/>
        <w:ind w:firstLine="567"/>
        <w:jc w:val="both"/>
        <w:rPr>
          <w:rFonts w:ascii="Palatino Linotype" w:eastAsia="Palatino Linotype" w:hAnsi="Palatino Linotype" w:cs="Palatino Linotype"/>
          <w:color w:val="000000"/>
          <w:sz w:val="24"/>
          <w:szCs w:val="24"/>
        </w:rPr>
      </w:pPr>
    </w:p>
    <w:p w:rsidR="00C57F80" w:rsidRPr="001F7972" w:rsidRDefault="00C120EA" w:rsidP="001F7972">
      <w:pPr>
        <w:spacing w:line="276" w:lineRule="auto"/>
        <w:rPr>
          <w:rFonts w:ascii="Palatino Linotype" w:eastAsia="Palatino Linotype" w:hAnsi="Palatino Linotype" w:cs="Palatino Linotype"/>
          <w:b/>
          <w:color w:val="000000"/>
          <w:sz w:val="24"/>
          <w:szCs w:val="24"/>
        </w:rPr>
      </w:pPr>
      <w:r w:rsidRPr="001F7972">
        <w:rPr>
          <w:rFonts w:ascii="Palatino Linotype" w:eastAsia="Palatino Linotype" w:hAnsi="Palatino Linotype" w:cs="Palatino Linotype"/>
          <w:b/>
          <w:color w:val="000000"/>
          <w:sz w:val="24"/>
          <w:szCs w:val="24"/>
        </w:rPr>
        <w:t>INTRODUCTION</w:t>
      </w:r>
    </w:p>
    <w:p w:rsidR="008B3B10" w:rsidRPr="001F7972" w:rsidRDefault="008B3B10"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 xml:space="preserve">Over the past decade, the orientation and motivation of Indonesians towards fishing have undergone a paradigm shift, from being viewed as a conventional effort to meet subsistence food needs (results-oriented) to fulfilling a commercial recreational lifestyle integrated into the special interest tourism sector. This transformation is supported by Indonesia's geographical advantages and ecological </w:t>
      </w:r>
      <w:r w:rsidRPr="001F7972">
        <w:rPr>
          <w:rFonts w:ascii="Palatino Linotype" w:eastAsia="Palatino Linotype" w:hAnsi="Palatino Linotype" w:cs="Palatino Linotype"/>
          <w:color w:val="000000"/>
          <w:sz w:val="24"/>
          <w:szCs w:val="24"/>
        </w:rPr>
        <w:lastRenderedPageBreak/>
        <w:t>richness, boasting the third-largest freshwater fish biodiversity in the world, as described by Syafei (2017). The recreational fishing ecosystem has grown massively into a promising business opportunity, with catfish (Clarias sp.) the dominant commodity used by business actors. The high preference for this fish is driven not only by its adaptive biological characteristics, strong endurance, and aggressive response to various baits, but also by the availability of supply at the national level.</w:t>
      </w:r>
    </w:p>
    <w:p w:rsidR="008B3B10" w:rsidRPr="001F7972" w:rsidRDefault="008B3B10"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According to data from the Ministry of Maritime Affairs and Fisheries, national catfish production has exceeded 1.15 million tons. The combination of the fish's superior biological characteristics and abundant supply are strong factors in why catfish fishing is a critical research topic. The catfish fishing business is no longer merely a minor informal sector, but has evolved into a niche recreational activity capable of driving the local economy, creating business opportunities, and fulfilling the psychological needs of urban communities seeking a quality fishing experience amidst the fatigue of routine. As part of contemporary recreational services, the management of fishing ponds in Indonesia is currently required to continue moving towards a more professional direction.</w:t>
      </w:r>
    </w:p>
    <w:p w:rsidR="008B3B10" w:rsidRPr="001F7972" w:rsidRDefault="008B3B10"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The structure of fishing pond businesses is increasingly diversified into various operational models, ranging from daily formats, by the kilo, to the adoption of a competition format known as the galatama system. The phenomenon of mass migration of pond managers to the galatama system, as noted by Fadilah (2025), reflects a current tendency toward process-oriented behavior, pursuing psychological satisfaction as self-actualization born from competition and social recognition, so that anglers no longer simply pursue the physical quantity of fish to take home. Therefore, the ideal condition of the galatama fishing sector should be able to present a robust value proposition through the integration of structured competition regulations, efficient time management, and the development of competitive prizes that can stimulate the enthusiasm of anglers as participants. The committee, as the management, is required to implement the principle of service fairness holistically, from transparency of the rules to accuracy of weighing equipment to objectivity in crucial decision-making on the field. When the economic investment made by Galatama participants (in the form of ticket purchases) is balanced with quality service, integrity, sportsmanship, and a fair chance of winning, participant expectations will be positively confirmed through Customer Satisfaction, leading to long-term loyalty in the form of Revisit Intention.</w:t>
      </w:r>
    </w:p>
    <w:p w:rsidR="008B3B10" w:rsidRPr="001F7972" w:rsidRDefault="008B3B10"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 xml:space="preserve">However, the empirical reality at Galatama Lele Oiko Fishing in East Jakarta actually shows a stark deviation from this ideal. The intense competition in the </w:t>
      </w:r>
      <w:r w:rsidRPr="001F7972">
        <w:rPr>
          <w:rFonts w:ascii="Palatino Linotype" w:eastAsia="Palatino Linotype" w:hAnsi="Palatino Linotype" w:cs="Palatino Linotype"/>
          <w:color w:val="000000"/>
          <w:sz w:val="24"/>
          <w:szCs w:val="24"/>
        </w:rPr>
        <w:lastRenderedPageBreak/>
        <w:t>special interest recreation business in the region has created challenges in the form of a periodic decline in customer visits, indicating obstacles in meeting participants' expectations of service fairness. This gap between theoretical expectations and practical realities on the ground is what prompted this research, which was based on the discovery of several research gaps: methodological, contextual, practical, and theoretical.</w:t>
      </w:r>
    </w:p>
    <w:p w:rsidR="008B3B10" w:rsidRPr="001F7972" w:rsidRDefault="008B3B10"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Based on the methodological gap, an evaluation of previous literature conducted by Sadeghi et al. (2016) showed a limited focus on consumer loyalty being measured conventionally using service quality variables. This study aims to fill this methodological gap by offering novelty in the form of deconstructing service quality into the variable of Perceived Service Fairness. This step is considered more precise because the fundamental essence of Galatama's business sustainability rests on ensuring a fair competitive climate</w:t>
      </w:r>
      <w:r w:rsidR="001F7972">
        <w:rPr>
          <w:rFonts w:ascii="Palatino Linotype" w:eastAsia="Palatino Linotype" w:hAnsi="Palatino Linotype" w:cs="Palatino Linotype"/>
          <w:color w:val="000000"/>
          <w:sz w:val="24"/>
          <w:szCs w:val="24"/>
          <w:lang w:val="id-ID"/>
        </w:rPr>
        <w:t xml:space="preserve">. </w:t>
      </w:r>
      <w:r w:rsidRPr="001F7972">
        <w:rPr>
          <w:rFonts w:ascii="Palatino Linotype" w:eastAsia="Palatino Linotype" w:hAnsi="Palatino Linotype" w:cs="Palatino Linotype"/>
          <w:color w:val="000000"/>
          <w:sz w:val="24"/>
          <w:szCs w:val="24"/>
        </w:rPr>
        <w:t>Based on the contextual gap, the literature in the studies by Arikan et al. (2017) and Cahyani et al. (2025) shows that testing of service fairness variables has so far been dominated by mass tourism or public services. No studies have specifically contextualized the influence of the fairness dimension in the special interest recreation industry sector, based on hobby competitions such as galatama fishing. This research aims to bridge this contextual gap by shifting the locus of analysis to the galatama catfish ecosystem, which has strict and unique technical operational regulations.</w:t>
      </w:r>
    </w:p>
    <w:p w:rsidR="008B3B10" w:rsidRPr="001F7972" w:rsidRDefault="008B3B10"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Meanwhile, the practical gap arises from the contradiction between marketing theory and reality on the ground. Referring to the literature by Rizan et al. (2022) and Komala et al. (2019), strategies of superior product value and high pricing are theoretically directly proportional to increased customer satisfaction. However, Galatama Lele Oiko Fishing, the object of this study, experienced an anomaly in the form of a massive 34.3% deficit in visitor volume, despite its most expensive package pricing strategy being 20% ​​higher than its competitor, Galatama Lele Family Fishing 3. This practical gap demonstrates that high financial sacrifices among participants trigger extreme cognitive sensitivity (Customer Satisfaction) in the form of Revisit Intention toward operational fairness in the field.</w:t>
      </w:r>
    </w:p>
    <w:p w:rsidR="008B3B10" w:rsidRPr="001F7972" w:rsidRDefault="008B3B10"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 xml:space="preserve">The main focus of this research, formulated in a research statement, aims to empirically test the effect of Perceived Service Fairness, mediated by Customer Satisfaction, on Revisit Intention among Galatama Lele Oiko Fishing participants in East Jakarta. This research limits its scope to generating strategic recommendations for restoring the object's business performance. This study excludes external, non-managerial factors such as the dynamics of changes in the pond environment and </w:t>
      </w:r>
      <w:r w:rsidRPr="001F7972">
        <w:rPr>
          <w:rFonts w:ascii="Palatino Linotype" w:eastAsia="Palatino Linotype" w:hAnsi="Palatino Linotype" w:cs="Palatino Linotype"/>
          <w:color w:val="000000"/>
          <w:sz w:val="24"/>
          <w:szCs w:val="24"/>
        </w:rPr>
        <w:lastRenderedPageBreak/>
        <w:t>fluctuations in the biological condition (level of aggressiveness) of fish in the water. Through the limitation and formulation of this structural model, this study is practically expected to be able to present a precise and scientific evaluation map for the committee as the manager to identify the root causes of the decline in business performance which is purely caused by unfairness factors of the committee's treatment in the field or actually originates from the inappropriateness of the ticket price structure arrangement which is considered to be of low value for the Galatama fishing participants.</w:t>
      </w:r>
    </w:p>
    <w:p w:rsidR="00C57F80" w:rsidRPr="001F7972" w:rsidRDefault="00C120EA" w:rsidP="001F7972">
      <w:pPr>
        <w:spacing w:line="276" w:lineRule="auto"/>
        <w:rPr>
          <w:rFonts w:ascii="Palatino Linotype" w:eastAsia="Palatino Linotype" w:hAnsi="Palatino Linotype" w:cs="Palatino Linotype"/>
          <w:b/>
          <w:sz w:val="24"/>
          <w:szCs w:val="24"/>
        </w:rPr>
      </w:pPr>
      <w:r w:rsidRPr="001F7972">
        <w:rPr>
          <w:rFonts w:ascii="Palatino Linotype" w:eastAsia="Palatino Linotype" w:hAnsi="Palatino Linotype" w:cs="Palatino Linotype"/>
          <w:b/>
          <w:color w:val="000000"/>
          <w:sz w:val="24"/>
          <w:szCs w:val="24"/>
        </w:rPr>
        <w:t>METHODS</w:t>
      </w:r>
    </w:p>
    <w:p w:rsidR="001F7972" w:rsidRPr="001F7972" w:rsidRDefault="001F7972"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Sampling in this quantitative study was conducted using a non-probability purposive sampling technique at Galatama Lele Oiko Fishing, East Jakarta. Primary data collection was sourced from a population of 10,331 active participants who fished at Galatama Lele Oiko Fishing from August 2025 to January 2026. The study's respondents were male and female, aged 20 to 45 years and older, and had a track record of more than one fishing visit during the study period. Research instruments were distributed before and after fishing sessions to address potential respondents' limited time in the field.</w:t>
      </w:r>
    </w:p>
    <w:p w:rsidR="001F7972" w:rsidRPr="001F7972" w:rsidRDefault="001F7972"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Data were collected through a closed-ended, multiple-choice questionnaire based on Google Forms, eliminating the opportunity for subjective opinions from respondents and maintaining the objectivity of the results (Amelia &amp; Yoedtadi, 2024). The researcher drew data from the sample to accurately analyze, predict, and describe the characteristics of the unit of analysis (Kriyantono, 2022). The minimum sample size was calculated using the Slovin formula with an error tolerance of 10% or 0.1, resulting in a minimum sample size of 99.04, rounded to 100 respondents. The research instrument adopted a Likert scale (1 to 5) to transform respondents' qualitative perceptions into highly granular quantitative data (Kriyantono, 2022).</w:t>
      </w:r>
    </w:p>
    <w:p w:rsidR="00C57F80" w:rsidRPr="001F7972" w:rsidRDefault="001F7972"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 xml:space="preserve">Strengthening understanding of the phenomenon of visit and turnover fluctuations was supported by field observations and literature review. Initial testing was conducted on 15 non-sample respondents using Microsoft Excel and IBM SPSS 29.0 for Windows. Referring to the distribution table of r-statistical values ​​with a 5% significance level, the correlation threshold (r-table) was set at 0.514 (Amalia et al., 2022). The results of the Pearson Product Moment correlation analysis of 17 items showed that 16 indicators were declared valid (r count &gt; 0.514), while 1 indicator, namely X1.2 (0.492), was declared dropped because it was below the criteria threshold. Through a Cronbach's Alpha value of 0.94 which exceeds the minimum standardization of 0.70 as mentioned in Alfiatunnisa et al. (2022), the 16 reliable final </w:t>
      </w:r>
      <w:r w:rsidRPr="001F7972">
        <w:rPr>
          <w:rFonts w:ascii="Palatino Linotype" w:eastAsia="Palatino Linotype" w:hAnsi="Palatino Linotype" w:cs="Palatino Linotype"/>
          <w:color w:val="000000"/>
          <w:sz w:val="24"/>
          <w:szCs w:val="24"/>
        </w:rPr>
        <w:lastRenderedPageBreak/>
        <w:t>instrument items are ready to be distributed to the original respondent sample for further analysis using Structural Equation Modeling-Partial Least Square (SEM-PLS) modeling with SmartPLS 4.0 for testing the outer model, inner model, Goodness of Fit (GoF), hypothesis, and contribution.</w:t>
      </w:r>
      <w:r w:rsidR="00C120EA" w:rsidRPr="001F7972">
        <w:rPr>
          <w:rFonts w:ascii="Palatino Linotype" w:eastAsia="Palatino Linotype" w:hAnsi="Palatino Linotype" w:cs="Palatino Linotype"/>
          <w:color w:val="000000"/>
          <w:sz w:val="24"/>
          <w:szCs w:val="24"/>
        </w:rPr>
        <w:t xml:space="preserve"> </w:t>
      </w:r>
    </w:p>
    <w:p w:rsidR="00C57F80" w:rsidRPr="001F7972" w:rsidRDefault="00C120EA" w:rsidP="001F7972">
      <w:pPr>
        <w:spacing w:line="276" w:lineRule="auto"/>
        <w:rPr>
          <w:rFonts w:ascii="Palatino Linotype" w:eastAsia="Palatino Linotype" w:hAnsi="Palatino Linotype" w:cs="Palatino Linotype"/>
          <w:b/>
          <w:sz w:val="24"/>
          <w:szCs w:val="24"/>
        </w:rPr>
      </w:pPr>
      <w:bookmarkStart w:id="0" w:name="_heading=h.gjdgxs" w:colFirst="0" w:colLast="0"/>
      <w:bookmarkEnd w:id="0"/>
      <w:r w:rsidRPr="001F7972">
        <w:rPr>
          <w:rFonts w:ascii="Palatino Linotype" w:eastAsia="Palatino Linotype" w:hAnsi="Palatino Linotype" w:cs="Palatino Linotype"/>
          <w:b/>
          <w:color w:val="000000"/>
          <w:sz w:val="24"/>
          <w:szCs w:val="24"/>
        </w:rPr>
        <w:t>FINDINGS</w:t>
      </w:r>
      <w:r w:rsidRPr="001F7972">
        <w:rPr>
          <w:rFonts w:ascii="Palatino Linotype" w:eastAsia="Palatino Linotype" w:hAnsi="Palatino Linotype" w:cs="Palatino Linotype"/>
          <w:b/>
          <w:sz w:val="24"/>
          <w:szCs w:val="24"/>
        </w:rPr>
        <w:t xml:space="preserve"> AND DISCUSSION </w:t>
      </w:r>
    </w:p>
    <w:p w:rsidR="008B3B10" w:rsidRPr="001F7972" w:rsidRDefault="008B3B10" w:rsidP="001F7972">
      <w:pPr>
        <w:widowControl/>
        <w:spacing w:line="276" w:lineRule="auto"/>
        <w:ind w:firstLine="720"/>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Referring to the perspective of Astaman et al. (2025), the classification of research objects based on specific indicators can be examined more comprehensively through an in-depth understanding of the profiles of the subjects under investigation. Therefore, this study analyzes the personal data of 161 participants who were recruited through a questionnaire instrument. The personal attributes explored to describe the sample include gender, age segmentation, fishing activity frequency, and the geographical distribution of participants in the Galatama Lele Oiko Fishing competition. The population of this study comprised all participants officially registered in the Galatama Lele Oiko Fishing competition during the period from August 2025 to January 2026, totaling 10,331 individuals.</w:t>
      </w:r>
    </w:p>
    <w:p w:rsidR="008B3B10" w:rsidRPr="001F7972" w:rsidRDefault="008B3B10" w:rsidP="001F7972">
      <w:pPr>
        <w:widowControl/>
        <w:spacing w:line="276" w:lineRule="auto"/>
        <w:jc w:val="center"/>
        <w:rPr>
          <w:rFonts w:ascii="Palatino Linotype" w:eastAsia="Times New Roman" w:hAnsi="Palatino Linotype"/>
          <w:sz w:val="24"/>
          <w:szCs w:val="24"/>
          <w:lang w:val="en-US"/>
        </w:rPr>
      </w:pPr>
      <w:r w:rsidRPr="001F7972">
        <w:rPr>
          <w:rFonts w:ascii="Palatino Linotype" w:eastAsia="Times New Roman" w:hAnsi="Palatino Linotype"/>
          <w:b/>
          <w:bCs/>
          <w:sz w:val="24"/>
          <w:szCs w:val="24"/>
          <w:lang w:val="en-US"/>
        </w:rPr>
        <w:t>Table 1. Respondent Profile</w:t>
      </w:r>
    </w:p>
    <w:tbl>
      <w:tblPr>
        <w:tblStyle w:val="TableGrid1"/>
        <w:tblW w:w="0" w:type="auto"/>
        <w:tblLook w:val="04A0" w:firstRow="1" w:lastRow="0" w:firstColumn="1" w:lastColumn="0" w:noHBand="0" w:noVBand="1"/>
      </w:tblPr>
      <w:tblGrid>
        <w:gridCol w:w="610"/>
        <w:gridCol w:w="2341"/>
        <w:gridCol w:w="2374"/>
        <w:gridCol w:w="1364"/>
        <w:gridCol w:w="1403"/>
      </w:tblGrid>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No.</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Respondent Profile</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Category</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Frequency</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Percentage</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Gender</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Male</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161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100%</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Female</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Age</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20–30 Years</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65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40%</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31–45 Years</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77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48%</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&gt;45 Years</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12%</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Fishing Frequency</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1–5 Times</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25%</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6–10 Times</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74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46%</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&gt;10 Times</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29%</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Residence</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East Jakarta</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132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82%</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Outside East Jakarta</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18%</w:t>
            </w:r>
          </w:p>
        </w:tc>
      </w:tr>
    </w:tbl>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i/>
          <w:iCs/>
          <w:sz w:val="24"/>
          <w:szCs w:val="24"/>
          <w:lang w:val="en-US"/>
        </w:rPr>
        <w:t>Source: Personal Documents, 2026</w:t>
      </w:r>
    </w:p>
    <w:p w:rsidR="008B3B10" w:rsidRPr="001F7972" w:rsidRDefault="008B3B10" w:rsidP="001F7972">
      <w:pPr>
        <w:widowControl/>
        <w:spacing w:line="276" w:lineRule="auto"/>
        <w:ind w:firstLine="567"/>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The demographic analysis presented in Table 1 reveals an extremely distinctive market characteristic in which all fishing customers (100% of the 161 respondents) were male, a phenomenon that confirms the theory proposed by Burkett and Carter (2020) regarding recreational fishing as a social space historically constructed around masculine values. The complete absence of female customers (0%) indicates the existence of structural constraints or spatial preferences that make this competition ecosystem, consisting of 44 fishing spots, highly specific to a single gender group, namely male anglers, who have proven to be highly responsive to competitive </w:t>
      </w:r>
      <w:r w:rsidRPr="001F7972">
        <w:rPr>
          <w:rFonts w:ascii="Palatino Linotype" w:eastAsia="Times New Roman" w:hAnsi="Palatino Linotype"/>
          <w:sz w:val="24"/>
          <w:szCs w:val="24"/>
          <w:lang w:val="en-US"/>
        </w:rPr>
        <w:lastRenderedPageBreak/>
        <w:t>stimulation and opportunities to demonstrate their fishing skills. From the age perspective, the market is dominated by individuals within the productive age group, with respondents aged 31–45 years accounting for 48%, those aged 20–30 years comprising 40%, while participants over 45 years contributed only 12%. This demographic structure presents a striking empirical contrast with the aging market trend observed among recreational fishing communities in developed countries such as Poland, as reported by Arlinghaus et al. (2021), while simultaneously demonstrating that recreational fishing in Indonesia remains an integral part of the active lifestyle of productive-age individuals in developing countries who possess sufficient economic stability to finance hobbies with relatively high operational costs (Astaman et al., 2025).</w:t>
      </w:r>
    </w:p>
    <w:p w:rsidR="008B3B10" w:rsidRPr="001F7972" w:rsidRDefault="008B3B10" w:rsidP="001F7972">
      <w:pPr>
        <w:widowControl/>
        <w:spacing w:line="276" w:lineRule="auto"/>
        <w:ind w:firstLine="567"/>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The characteristics of these dynamic and rational consumers within the productive age group encourage participants to conduct critical comparisons between their financial sacrifices and the fairness of the competition system, commonly referred to as </w:t>
      </w:r>
      <w:r w:rsidRPr="001F7972">
        <w:rPr>
          <w:rFonts w:ascii="Palatino Linotype" w:eastAsia="Times New Roman" w:hAnsi="Palatino Linotype"/>
          <w:b/>
          <w:bCs/>
          <w:sz w:val="24"/>
          <w:szCs w:val="24"/>
          <w:lang w:val="en-US"/>
        </w:rPr>
        <w:t>Perceived Service Fairness</w:t>
      </w:r>
      <w:r w:rsidRPr="001F7972">
        <w:rPr>
          <w:rFonts w:ascii="Palatino Linotype" w:eastAsia="Times New Roman" w:hAnsi="Palatino Linotype"/>
          <w:sz w:val="24"/>
          <w:szCs w:val="24"/>
          <w:lang w:val="en-US"/>
        </w:rPr>
        <w:t>. This tendency is reflected by the majority of respondents belonging to the highly active angler group (avid anglers), who reported fishing frequencies of 6–10 visits (46%) and more than 10 visits (29%) during a single observation period. The high intensity of repeated visits is consistent with recreational fishing studies conducted by Morales-Nin et al. (2021) and simultaneously validates the avidity bias theory proposed by Howarth et al. (2024), indicating that the questionnaire instrument successfully captured the aspirations of the core customer segment that interacts most intensively with the service system. Furthermore, this intensive visitation pattern was predominantly represented by participants residing in East Jakarta (82%), who rationally utilized geographical proximity to reduce fatigue and psychological stress arising from demanding daily routines. This empirical relationship confirms the findings of Nelly and Pebrianti (2024), who concluded that location plays a crucial role as an indicator for optimizing customer satisfaction because lower physical accessibility costs reduce non-monetary sacrifices while simultaneously increasing the service utility provided by the event organizers.</w:t>
      </w:r>
    </w:p>
    <w:p w:rsidR="008B3B10" w:rsidRPr="001F7972" w:rsidRDefault="008B3B10" w:rsidP="001F7972">
      <w:pPr>
        <w:widowControl/>
        <w:spacing w:line="276" w:lineRule="auto"/>
        <w:jc w:val="center"/>
        <w:rPr>
          <w:rFonts w:ascii="Palatino Linotype" w:eastAsia="Times New Roman" w:hAnsi="Palatino Linotype"/>
          <w:sz w:val="24"/>
          <w:szCs w:val="24"/>
          <w:lang w:val="en-US"/>
        </w:rPr>
      </w:pPr>
      <w:r w:rsidRPr="001F7972">
        <w:rPr>
          <w:rFonts w:ascii="Palatino Linotype" w:eastAsia="Times New Roman" w:hAnsi="Palatino Linotype"/>
          <w:b/>
          <w:bCs/>
          <w:sz w:val="24"/>
          <w:szCs w:val="24"/>
          <w:lang w:val="en-US"/>
        </w:rPr>
        <w:t>Table 2. Descriptive Statistics</w:t>
      </w:r>
    </w:p>
    <w:tbl>
      <w:tblPr>
        <w:tblStyle w:val="TableGrid1"/>
        <w:tblW w:w="0" w:type="auto"/>
        <w:tblLook w:val="04A0" w:firstRow="1" w:lastRow="0" w:firstColumn="1" w:lastColumn="0" w:noHBand="0" w:noVBand="1"/>
      </w:tblPr>
      <w:tblGrid>
        <w:gridCol w:w="1216"/>
        <w:gridCol w:w="838"/>
        <w:gridCol w:w="838"/>
        <w:gridCol w:w="838"/>
        <w:gridCol w:w="838"/>
        <w:gridCol w:w="838"/>
        <w:gridCol w:w="843"/>
        <w:gridCol w:w="1174"/>
        <w:gridCol w:w="1864"/>
      </w:tblGrid>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Indicator</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SD</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D</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N</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A</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SA</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Mean</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Total Mean</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Standard Deviation</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X1.1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28.0%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44.1%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27.3%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3.98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3.70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0.762</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X1.2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26.7%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36.0%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34.8%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4.03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0.847</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X1.3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17.4%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32.9%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36.6%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10.6%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3.35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0.971</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lastRenderedPageBreak/>
              <w:t>X1.4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40.4%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35.4%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22.4%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3.78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0.829</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X1.5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14.3%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39.1%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31.7%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12.4%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3.37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0.961</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X1.6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8.7%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35.4%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31.7%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23.0%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3.66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0.968</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Z1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35.4%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46.0%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14.3%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3.70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3.71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0.765</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Z2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16.1%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60.2%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22.4%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4.04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0.660</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Z3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9.9%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40.4%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42.2%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6.8%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3.45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0.790</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Z4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21.7%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41.6%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31.7%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3.99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0.894</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Z5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11.8%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45.3%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34.8%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5.6%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3.29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0.841</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Z6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28.0%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50.9%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16.1%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3.77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0.808</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Y1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8.1%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11.2%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19.9%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57.1%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4.19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3.88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1.147</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Y2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10.6%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11.2%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17.4%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21.7%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39.1%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3.68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1.367</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Y3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6.2%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11.8%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16.8%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20.5%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44.7%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3.86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1.279</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Y4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7.5%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14.9%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10.6%</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24.2%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42.9%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3.80</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1.331</w:t>
            </w:r>
          </w:p>
        </w:tc>
      </w:tr>
    </w:tbl>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i/>
          <w:iCs/>
          <w:sz w:val="24"/>
          <w:szCs w:val="24"/>
          <w:lang w:val="en-US"/>
        </w:rPr>
        <w:t>Source: Processed by the Researchers, 2026</w:t>
      </w:r>
    </w:p>
    <w:p w:rsidR="008B3B10" w:rsidRPr="001F7972" w:rsidRDefault="008B3B10" w:rsidP="001F7972">
      <w:pPr>
        <w:widowControl/>
        <w:spacing w:line="276" w:lineRule="auto"/>
        <w:ind w:firstLine="709"/>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The descriptive statistical findings presented in Table 2 indicate that, overall, Galatama Lele Oiko Fishing has successfully fulfilled fundamental operational expectations, as evidenced by the fact that the highest evaluations across all variables were dominated by positive respondent perceptions with standard deviations remaining within a normal range. For the </w:t>
      </w:r>
      <w:r w:rsidRPr="001F7972">
        <w:rPr>
          <w:rFonts w:ascii="Palatino Linotype" w:eastAsia="Times New Roman" w:hAnsi="Palatino Linotype"/>
          <w:b/>
          <w:bCs/>
          <w:sz w:val="24"/>
          <w:szCs w:val="24"/>
          <w:lang w:val="en-US"/>
        </w:rPr>
        <w:t>Perceived Service Fairness</w:t>
      </w:r>
      <w:r w:rsidRPr="001F7972">
        <w:rPr>
          <w:rFonts w:ascii="Palatino Linotype" w:eastAsia="Times New Roman" w:hAnsi="Palatino Linotype"/>
          <w:sz w:val="24"/>
          <w:szCs w:val="24"/>
          <w:lang w:val="en-US"/>
        </w:rPr>
        <w:t xml:space="preserve"> variable, the highest percentage was observed for indicator X1.1 (44.1%), where respondents agreed that the competition prizes offered were proportional to the ticket price they had paid. This satisfaction pattern continued within the </w:t>
      </w:r>
      <w:r w:rsidRPr="001F7972">
        <w:rPr>
          <w:rFonts w:ascii="Palatino Linotype" w:eastAsia="Times New Roman" w:hAnsi="Palatino Linotype"/>
          <w:b/>
          <w:bCs/>
          <w:sz w:val="24"/>
          <w:szCs w:val="24"/>
          <w:lang w:val="en-US"/>
        </w:rPr>
        <w:t>Customer Satisfaction</w:t>
      </w:r>
      <w:r w:rsidRPr="001F7972">
        <w:rPr>
          <w:rFonts w:ascii="Palatino Linotype" w:eastAsia="Times New Roman" w:hAnsi="Palatino Linotype"/>
          <w:sz w:val="24"/>
          <w:szCs w:val="24"/>
          <w:lang w:val="en-US"/>
        </w:rPr>
        <w:t xml:space="preserve"> variable, where the largest percentage reached 60.2% for the "agree" response on indicator Z2, demonstrating that the adequacy of the physical supporting facilities around the fishing pond, including lighting, seating, and the availability of water buckets, successfully met respondents' expectations. Consistent with these findings, the </w:t>
      </w:r>
      <w:r w:rsidRPr="001F7972">
        <w:rPr>
          <w:rFonts w:ascii="Palatino Linotype" w:eastAsia="Times New Roman" w:hAnsi="Palatino Linotype"/>
          <w:b/>
          <w:bCs/>
          <w:sz w:val="24"/>
          <w:szCs w:val="24"/>
          <w:lang w:val="en-US"/>
        </w:rPr>
        <w:t>Revisit Intention</w:t>
      </w:r>
      <w:r w:rsidRPr="001F7972">
        <w:rPr>
          <w:rFonts w:ascii="Palatino Linotype" w:eastAsia="Times New Roman" w:hAnsi="Palatino Linotype"/>
          <w:sz w:val="24"/>
          <w:szCs w:val="24"/>
          <w:lang w:val="en-US"/>
        </w:rPr>
        <w:t xml:space="preserve"> variable recorded its highest percentage at 57.1% for the "strongly agree" response on indicator Y1, reflecting respondents' strong intention to return to the research site for future fishing sessions. Therefore, the proportionality of competition prizes, the superiority of physical facilities, and the high level of short-term revisit intention collectively represent the primary strengths that maintain the operational stability of the research site's ecosystem.</w:t>
      </w:r>
    </w:p>
    <w:p w:rsidR="008B3B10" w:rsidRPr="001F7972" w:rsidRDefault="008B3B10" w:rsidP="001F7972">
      <w:pPr>
        <w:pStyle w:val="NormalWeb"/>
        <w:spacing w:before="0" w:beforeAutospacing="0" w:after="0" w:afterAutospacing="0" w:line="276" w:lineRule="auto"/>
        <w:ind w:firstLine="709"/>
        <w:jc w:val="both"/>
        <w:rPr>
          <w:rFonts w:ascii="Palatino Linotype" w:hAnsi="Palatino Linotype"/>
          <w:lang w:val="en-US"/>
        </w:rPr>
      </w:pPr>
      <w:r w:rsidRPr="001F7972">
        <w:rPr>
          <w:rFonts w:ascii="Palatino Linotype" w:hAnsi="Palatino Linotype"/>
        </w:rPr>
        <w:t xml:space="preserve">This study employed a </w:t>
      </w:r>
      <w:r w:rsidRPr="001F7972">
        <w:rPr>
          <w:rStyle w:val="Strong"/>
          <w:rFonts w:ascii="Palatino Linotype" w:hAnsi="Palatino Linotype"/>
        </w:rPr>
        <w:t>quantitative research approach</w:t>
      </w:r>
      <w:r w:rsidRPr="001F7972">
        <w:rPr>
          <w:rFonts w:ascii="Palatino Linotype" w:hAnsi="Palatino Linotype"/>
        </w:rPr>
        <w:t xml:space="preserve"> using a </w:t>
      </w:r>
      <w:r w:rsidRPr="001F7972">
        <w:rPr>
          <w:rStyle w:val="Strong"/>
          <w:rFonts w:ascii="Palatino Linotype" w:hAnsi="Palatino Linotype"/>
        </w:rPr>
        <w:t>causal associative design</w:t>
      </w:r>
      <w:r w:rsidRPr="001F7972">
        <w:rPr>
          <w:rFonts w:ascii="Palatino Linotype" w:hAnsi="Palatino Linotype"/>
        </w:rPr>
        <w:t xml:space="preserve"> to examine the cause-and-effect relationships among the latent constructs. The structural model proposed in this research was specifically designed to investigate and analyze the effect of </w:t>
      </w:r>
      <w:r w:rsidRPr="001F7972">
        <w:rPr>
          <w:rStyle w:val="Strong"/>
          <w:rFonts w:ascii="Palatino Linotype" w:hAnsi="Palatino Linotype"/>
        </w:rPr>
        <w:t>Perceived Service Fairness (X1)</w:t>
      </w:r>
      <w:r w:rsidRPr="001F7972">
        <w:rPr>
          <w:rFonts w:ascii="Palatino Linotype" w:hAnsi="Palatino Linotype"/>
        </w:rPr>
        <w:t xml:space="preserve"> on </w:t>
      </w:r>
      <w:r w:rsidRPr="001F7972">
        <w:rPr>
          <w:rStyle w:val="Strong"/>
          <w:rFonts w:ascii="Palatino Linotype" w:hAnsi="Palatino Linotype"/>
        </w:rPr>
        <w:t xml:space="preserve">Revisit </w:t>
      </w:r>
      <w:r w:rsidRPr="001F7972">
        <w:rPr>
          <w:rStyle w:val="Strong"/>
          <w:rFonts w:ascii="Palatino Linotype" w:hAnsi="Palatino Linotype"/>
        </w:rPr>
        <w:lastRenderedPageBreak/>
        <w:t>Intention (Y)</w:t>
      </w:r>
      <w:r w:rsidRPr="001F7972">
        <w:rPr>
          <w:rFonts w:ascii="Palatino Linotype" w:hAnsi="Palatino Linotype"/>
        </w:rPr>
        <w:t xml:space="preserve">, with </w:t>
      </w:r>
      <w:r w:rsidRPr="001F7972">
        <w:rPr>
          <w:rStyle w:val="Strong"/>
          <w:rFonts w:ascii="Palatino Linotype" w:hAnsi="Palatino Linotype"/>
        </w:rPr>
        <w:t>Customer Satisfaction (Z)</w:t>
      </w:r>
      <w:r w:rsidRPr="001F7972">
        <w:rPr>
          <w:rFonts w:ascii="Palatino Linotype" w:hAnsi="Palatino Linotype"/>
        </w:rPr>
        <w:t xml:space="preserve"> serving as the mediating variable. During the outer model assessment, the analysis was conducted using </w:t>
      </w:r>
      <w:r w:rsidRPr="001F7972">
        <w:rPr>
          <w:rStyle w:val="Strong"/>
          <w:rFonts w:ascii="Palatino Linotype" w:hAnsi="Palatino Linotype"/>
        </w:rPr>
        <w:t>SmartPLS 4.0</w:t>
      </w:r>
      <w:r w:rsidRPr="001F7972">
        <w:rPr>
          <w:rFonts w:ascii="Palatino Linotype" w:hAnsi="Palatino Linotype"/>
        </w:rPr>
        <w:t xml:space="preserve">, following the three primary evaluation criteria classified by Siswanto (2022), namely </w:t>
      </w:r>
      <w:r w:rsidRPr="001F7972">
        <w:rPr>
          <w:rStyle w:val="Strong"/>
          <w:rFonts w:ascii="Palatino Linotype" w:hAnsi="Palatino Linotype"/>
        </w:rPr>
        <w:t>internal consistency reliability</w:t>
      </w:r>
      <w:r w:rsidRPr="001F7972">
        <w:rPr>
          <w:rFonts w:ascii="Palatino Linotype" w:hAnsi="Palatino Linotype"/>
        </w:rPr>
        <w:t xml:space="preserve">, </w:t>
      </w:r>
      <w:r w:rsidRPr="001F7972">
        <w:rPr>
          <w:rStyle w:val="Strong"/>
          <w:rFonts w:ascii="Palatino Linotype" w:hAnsi="Palatino Linotype"/>
        </w:rPr>
        <w:t>convergent validity</w:t>
      </w:r>
      <w:r w:rsidRPr="001F7972">
        <w:rPr>
          <w:rFonts w:ascii="Palatino Linotype" w:hAnsi="Palatino Linotype"/>
        </w:rPr>
        <w:t xml:space="preserve">, and </w:t>
      </w:r>
      <w:r w:rsidRPr="001F7972">
        <w:rPr>
          <w:rStyle w:val="Strong"/>
          <w:rFonts w:ascii="Palatino Linotype" w:hAnsi="Palatino Linotype"/>
        </w:rPr>
        <w:t>discriminant validity</w:t>
      </w:r>
      <w:r w:rsidRPr="001F7972">
        <w:rPr>
          <w:rFonts w:ascii="Palatino Linotype" w:hAnsi="Palatino Linotype"/>
        </w:rPr>
        <w:t xml:space="preserve">. The internal consistency reliability assessment was performed to measure the degree of reliability and stability of each indicator constituting the latent constructs. Referring to the methodological perspective of Malhotra et al., as cited in Siswanto (2022), the acceptance criteria for internal reliability were specifically determined based on two threshold values, namely </w:t>
      </w:r>
      <w:r w:rsidRPr="001F7972">
        <w:rPr>
          <w:rStyle w:val="Strong"/>
          <w:rFonts w:ascii="Palatino Linotype" w:hAnsi="Palatino Linotype"/>
        </w:rPr>
        <w:t>Composite Reliability (CR)</w:t>
      </w:r>
      <w:r w:rsidRPr="001F7972">
        <w:rPr>
          <w:rFonts w:ascii="Palatino Linotype" w:hAnsi="Palatino Linotype"/>
        </w:rPr>
        <w:t xml:space="preserve"> and </w:t>
      </w:r>
      <w:r w:rsidRPr="001F7972">
        <w:rPr>
          <w:rStyle w:val="Strong"/>
          <w:rFonts w:ascii="Palatino Linotype" w:hAnsi="Palatino Linotype"/>
        </w:rPr>
        <w:t>Cronbach’s Alpha</w:t>
      </w:r>
      <w:r w:rsidRPr="001F7972">
        <w:rPr>
          <w:rFonts w:ascii="Palatino Linotype" w:hAnsi="Palatino Linotype"/>
        </w:rPr>
        <w:t>.</w:t>
      </w:r>
    </w:p>
    <w:p w:rsidR="008B3B10" w:rsidRPr="001F7972" w:rsidRDefault="008B3B10" w:rsidP="001F7972">
      <w:pPr>
        <w:pStyle w:val="NormalWeb"/>
        <w:spacing w:before="0" w:beforeAutospacing="0" w:after="0" w:afterAutospacing="0" w:line="276" w:lineRule="auto"/>
        <w:ind w:firstLine="709"/>
        <w:jc w:val="both"/>
        <w:rPr>
          <w:rFonts w:ascii="Palatino Linotype" w:hAnsi="Palatino Linotype"/>
        </w:rPr>
      </w:pPr>
      <w:r w:rsidRPr="001F7972">
        <w:rPr>
          <w:rFonts w:ascii="Palatino Linotype" w:hAnsi="Palatino Linotype"/>
        </w:rPr>
        <w:t xml:space="preserve">Based on the methodological parameters synthesized by Hair et al. (2019), all exogenous and endogenous constructs in the research model satisfy the requirements for </w:t>
      </w:r>
      <w:r w:rsidRPr="001F7972">
        <w:rPr>
          <w:rStyle w:val="Strong"/>
          <w:rFonts w:ascii="Palatino Linotype" w:hAnsi="Palatino Linotype"/>
        </w:rPr>
        <w:t>convergent validity</w:t>
      </w:r>
      <w:r w:rsidRPr="001F7972">
        <w:rPr>
          <w:rFonts w:ascii="Palatino Linotype" w:hAnsi="Palatino Linotype"/>
        </w:rPr>
        <w:t xml:space="preserve"> when the </w:t>
      </w:r>
      <w:r w:rsidRPr="001F7972">
        <w:rPr>
          <w:rStyle w:val="Strong"/>
          <w:rFonts w:ascii="Palatino Linotype" w:hAnsi="Palatino Linotype"/>
        </w:rPr>
        <w:t>Average Variance Extracted (AVE)</w:t>
      </w:r>
      <w:r w:rsidRPr="001F7972">
        <w:rPr>
          <w:rFonts w:ascii="Palatino Linotype" w:hAnsi="Palatino Linotype"/>
        </w:rPr>
        <w:t xml:space="preserve"> exceeds </w:t>
      </w:r>
      <w:r w:rsidRPr="001F7972">
        <w:rPr>
          <w:rStyle w:val="Strong"/>
          <w:rFonts w:ascii="Palatino Linotype" w:hAnsi="Palatino Linotype"/>
        </w:rPr>
        <w:t>0.50</w:t>
      </w:r>
      <w:r w:rsidRPr="001F7972">
        <w:rPr>
          <w:rFonts w:ascii="Palatino Linotype" w:hAnsi="Palatino Linotype"/>
        </w:rPr>
        <w:t xml:space="preserve"> and the </w:t>
      </w:r>
      <w:r w:rsidRPr="001F7972">
        <w:rPr>
          <w:rStyle w:val="Strong"/>
          <w:rFonts w:ascii="Palatino Linotype" w:hAnsi="Palatino Linotype"/>
        </w:rPr>
        <w:t>outer loading</w:t>
      </w:r>
      <w:r w:rsidRPr="001F7972">
        <w:rPr>
          <w:rFonts w:ascii="Palatino Linotype" w:hAnsi="Palatino Linotype"/>
        </w:rPr>
        <w:t xml:space="preserve"> values reach at least </w:t>
      </w:r>
      <w:r w:rsidRPr="001F7972">
        <w:rPr>
          <w:rStyle w:val="Strong"/>
          <w:rFonts w:ascii="Palatino Linotype" w:hAnsi="Palatino Linotype"/>
        </w:rPr>
        <w:t>0.708</w:t>
      </w:r>
      <w:r w:rsidRPr="001F7972">
        <w:rPr>
          <w:rFonts w:ascii="Palatino Linotype" w:hAnsi="Palatino Linotype"/>
        </w:rPr>
        <w:t xml:space="preserve">. Furthermore, according to Rudiyanto and Hanifah (2021), the minimum acceptable values for </w:t>
      </w:r>
      <w:r w:rsidRPr="001F7972">
        <w:rPr>
          <w:rStyle w:val="Strong"/>
          <w:rFonts w:ascii="Palatino Linotype" w:hAnsi="Palatino Linotype"/>
        </w:rPr>
        <w:t>Composite Reliability</w:t>
      </w:r>
      <w:r w:rsidRPr="001F7972">
        <w:rPr>
          <w:rFonts w:ascii="Palatino Linotype" w:hAnsi="Palatino Linotype"/>
        </w:rPr>
        <w:t xml:space="preserve"> and </w:t>
      </w:r>
      <w:r w:rsidRPr="001F7972">
        <w:rPr>
          <w:rStyle w:val="Strong"/>
          <w:rFonts w:ascii="Palatino Linotype" w:hAnsi="Palatino Linotype"/>
        </w:rPr>
        <w:t>Cronbach’s Alpha</w:t>
      </w:r>
      <w:r w:rsidRPr="001F7972">
        <w:rPr>
          <w:rFonts w:ascii="Palatino Linotype" w:hAnsi="Palatino Linotype"/>
        </w:rPr>
        <w:t xml:space="preserve"> are above </w:t>
      </w:r>
      <w:r w:rsidRPr="001F7972">
        <w:rPr>
          <w:rStyle w:val="Strong"/>
          <w:rFonts w:ascii="Palatino Linotype" w:hAnsi="Palatino Linotype"/>
        </w:rPr>
        <w:t>0.70</w:t>
      </w:r>
      <w:r w:rsidRPr="001F7972">
        <w:rPr>
          <w:rFonts w:ascii="Palatino Linotype" w:hAnsi="Palatino Linotype"/>
        </w:rPr>
        <w:t xml:space="preserve"> to demonstrate the internal consistency of the measurement instrument based on respondents’ answers.</w:t>
      </w:r>
    </w:p>
    <w:p w:rsidR="008B3B10" w:rsidRPr="001F7972" w:rsidRDefault="008B3B10" w:rsidP="001F7972">
      <w:pPr>
        <w:pStyle w:val="NormalWeb"/>
        <w:spacing w:before="0" w:beforeAutospacing="0" w:after="0" w:afterAutospacing="0" w:line="276" w:lineRule="auto"/>
        <w:jc w:val="center"/>
        <w:rPr>
          <w:rFonts w:ascii="Palatino Linotype" w:hAnsi="Palatino Linotype"/>
        </w:rPr>
      </w:pPr>
      <w:r w:rsidRPr="001F7972">
        <w:rPr>
          <w:rStyle w:val="Strong"/>
          <w:rFonts w:ascii="Palatino Linotype" w:hAnsi="Palatino Linotype"/>
        </w:rPr>
        <w:t>Table 3. Construct Reliability and Validity Results</w:t>
      </w:r>
    </w:p>
    <w:tbl>
      <w:tblPr>
        <w:tblStyle w:val="TableGrid1"/>
        <w:tblW w:w="0" w:type="auto"/>
        <w:tblLook w:val="04A0" w:firstRow="1" w:lastRow="0" w:firstColumn="1" w:lastColumn="0" w:noHBand="0" w:noVBand="1"/>
      </w:tblPr>
      <w:tblGrid>
        <w:gridCol w:w="2049"/>
        <w:gridCol w:w="1216"/>
        <w:gridCol w:w="756"/>
        <w:gridCol w:w="1464"/>
        <w:gridCol w:w="2096"/>
        <w:gridCol w:w="1706"/>
      </w:tblGrid>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Latent Variable</w:t>
            </w: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Indicator</w:t>
            </w: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AVE</w:t>
            </w: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Outer Loadings</w:t>
            </w: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Composite Reliability (rho_c)</w:t>
            </w: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Cronbach’s Alpha</w:t>
            </w: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Style w:val="Strong"/>
                <w:rFonts w:ascii="Palatino Linotype" w:hAnsi="Palatino Linotype"/>
                <w:sz w:val="24"/>
                <w:szCs w:val="24"/>
              </w:rPr>
              <w:t>Perceived Service Fairness</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X1.1</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0.725</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0.907</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0.940</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0.924</w:t>
            </w: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X1.2</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0.851</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X1.3</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0.767</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X1.4</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0.836</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X1.5</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0.879</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X1.6</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0.863</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Style w:val="Strong"/>
                <w:rFonts w:ascii="Palatino Linotype" w:hAnsi="Palatino Linotype"/>
                <w:sz w:val="24"/>
                <w:szCs w:val="24"/>
              </w:rPr>
              <w:t>Customer Satisfaction</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Z1</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0.667</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0.765</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0.923</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0.903</w:t>
            </w: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Z2</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0.798</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Z3</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0.791</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Z4</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0.857</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Z5</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0.857</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Z6</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0.827</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Style w:val="Strong"/>
                <w:rFonts w:ascii="Palatino Linotype" w:hAnsi="Palatino Linotype"/>
                <w:sz w:val="24"/>
                <w:szCs w:val="24"/>
              </w:rPr>
              <w:t>Revisit Intention</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Y1</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0.664</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0.821</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0.888</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0.833</w:t>
            </w: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Y2</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0.813</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Y3</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0.791</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8B3B10">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Y4</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0.835</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bl>
    <w:p w:rsidR="008B3B10" w:rsidRPr="001F7972" w:rsidRDefault="008B3B10" w:rsidP="001F7972">
      <w:pPr>
        <w:pStyle w:val="NormalWeb"/>
        <w:spacing w:before="0" w:beforeAutospacing="0" w:after="0" w:afterAutospacing="0" w:line="276" w:lineRule="auto"/>
        <w:jc w:val="both"/>
        <w:rPr>
          <w:rFonts w:ascii="Palatino Linotype" w:hAnsi="Palatino Linotype"/>
        </w:rPr>
      </w:pPr>
      <w:r w:rsidRPr="001F7972">
        <w:rPr>
          <w:rStyle w:val="Emphasis"/>
          <w:rFonts w:ascii="Palatino Linotype" w:eastAsia="SimSun" w:hAnsi="Palatino Linotype"/>
        </w:rPr>
        <w:t>Source: Processed by the Researchers, 2026</w:t>
      </w:r>
    </w:p>
    <w:p w:rsidR="008B3B10" w:rsidRPr="001F7972" w:rsidRDefault="008B3B10" w:rsidP="001F7972">
      <w:pPr>
        <w:pStyle w:val="NormalWeb"/>
        <w:spacing w:before="0" w:beforeAutospacing="0" w:after="0" w:afterAutospacing="0" w:line="276" w:lineRule="auto"/>
        <w:ind w:firstLine="567"/>
        <w:jc w:val="both"/>
        <w:rPr>
          <w:rFonts w:ascii="Palatino Linotype" w:hAnsi="Palatino Linotype"/>
        </w:rPr>
      </w:pPr>
      <w:r w:rsidRPr="001F7972">
        <w:rPr>
          <w:rFonts w:ascii="Palatino Linotype" w:hAnsi="Palatino Linotype"/>
        </w:rPr>
        <w:t xml:space="preserve">Based on the testing results presented in </w:t>
      </w:r>
      <w:r w:rsidRPr="001F7972">
        <w:rPr>
          <w:rStyle w:val="Strong"/>
          <w:rFonts w:ascii="Palatino Linotype" w:hAnsi="Palatino Linotype"/>
        </w:rPr>
        <w:t>Table 3</w:t>
      </w:r>
      <w:r w:rsidRPr="001F7972">
        <w:rPr>
          <w:rFonts w:ascii="Palatino Linotype" w:hAnsi="Palatino Linotype"/>
        </w:rPr>
        <w:t xml:space="preserve">, all latent constructs in this study achieved values exceeding the minimum threshold requirements for </w:t>
      </w:r>
      <w:r w:rsidRPr="001F7972">
        <w:rPr>
          <w:rStyle w:val="Strong"/>
          <w:rFonts w:ascii="Palatino Linotype" w:hAnsi="Palatino Linotype"/>
        </w:rPr>
        <w:t>Average Variance Extracted (AVE)</w:t>
      </w:r>
      <w:r w:rsidRPr="001F7972">
        <w:rPr>
          <w:rFonts w:ascii="Palatino Linotype" w:hAnsi="Palatino Linotype"/>
        </w:rPr>
        <w:t xml:space="preserve">, </w:t>
      </w:r>
      <w:r w:rsidRPr="001F7972">
        <w:rPr>
          <w:rStyle w:val="Strong"/>
          <w:rFonts w:ascii="Palatino Linotype" w:hAnsi="Palatino Linotype"/>
        </w:rPr>
        <w:t>outer loadings</w:t>
      </w:r>
      <w:r w:rsidRPr="001F7972">
        <w:rPr>
          <w:rFonts w:ascii="Palatino Linotype" w:hAnsi="Palatino Linotype"/>
        </w:rPr>
        <w:t xml:space="preserve">, </w:t>
      </w:r>
      <w:r w:rsidRPr="001F7972">
        <w:rPr>
          <w:rStyle w:val="Strong"/>
          <w:rFonts w:ascii="Palatino Linotype" w:hAnsi="Palatino Linotype"/>
        </w:rPr>
        <w:t>Composite Reliability (rho_c)</w:t>
      </w:r>
      <w:r w:rsidRPr="001F7972">
        <w:rPr>
          <w:rFonts w:ascii="Palatino Linotype" w:hAnsi="Palatino Linotype"/>
        </w:rPr>
        <w:t xml:space="preserve">, and </w:t>
      </w:r>
      <w:r w:rsidRPr="001F7972">
        <w:rPr>
          <w:rStyle w:val="Strong"/>
          <w:rFonts w:ascii="Palatino Linotype" w:hAnsi="Palatino Linotype"/>
        </w:rPr>
        <w:t>Cronbach’s Alpha</w:t>
      </w:r>
      <w:r w:rsidRPr="001F7972">
        <w:rPr>
          <w:rFonts w:ascii="Palatino Linotype" w:hAnsi="Palatino Linotype"/>
        </w:rPr>
        <w:t xml:space="preserve">. Consequently, every measurement indicator incorporated into the estimation model fulfilled the standardized research criteria and was therefore confirmed to be both </w:t>
      </w:r>
      <w:r w:rsidRPr="001F7972">
        <w:rPr>
          <w:rStyle w:val="Strong"/>
          <w:rFonts w:ascii="Palatino Linotype" w:hAnsi="Palatino Linotype"/>
        </w:rPr>
        <w:t>valid and reliable</w:t>
      </w:r>
      <w:r w:rsidRPr="001F7972">
        <w:rPr>
          <w:rFonts w:ascii="Palatino Linotype" w:hAnsi="Palatino Linotype"/>
        </w:rPr>
        <w:t>, making the constructs suitable for subsequent structural model analysis.</w:t>
      </w:r>
    </w:p>
    <w:p w:rsidR="008B3B10" w:rsidRPr="001F7972" w:rsidRDefault="008B3B10" w:rsidP="001F7972">
      <w:pPr>
        <w:pStyle w:val="NormalWeb"/>
        <w:spacing w:before="0" w:beforeAutospacing="0" w:after="0" w:afterAutospacing="0" w:line="276" w:lineRule="auto"/>
        <w:ind w:firstLine="567"/>
        <w:jc w:val="both"/>
        <w:rPr>
          <w:rFonts w:ascii="Palatino Linotype" w:hAnsi="Palatino Linotype"/>
        </w:rPr>
      </w:pPr>
      <w:r w:rsidRPr="001F7972">
        <w:rPr>
          <w:rFonts w:ascii="Palatino Linotype" w:hAnsi="Palatino Linotype"/>
        </w:rPr>
        <w:t xml:space="preserve">The evaluation of </w:t>
      </w:r>
      <w:r w:rsidRPr="001F7972">
        <w:rPr>
          <w:rStyle w:val="Strong"/>
          <w:rFonts w:ascii="Palatino Linotype" w:hAnsi="Palatino Linotype"/>
        </w:rPr>
        <w:t>discriminant validity</w:t>
      </w:r>
      <w:r w:rsidRPr="001F7972">
        <w:rPr>
          <w:rFonts w:ascii="Palatino Linotype" w:hAnsi="Palatino Linotype"/>
        </w:rPr>
        <w:t xml:space="preserve"> was conducted through triangulation using two principal analytical techniques, namely the </w:t>
      </w:r>
      <w:r w:rsidRPr="001F7972">
        <w:rPr>
          <w:rStyle w:val="Strong"/>
          <w:rFonts w:ascii="Palatino Linotype" w:hAnsi="Palatino Linotype"/>
        </w:rPr>
        <w:t>Heterotrait-Monotrait Ratio (HTMT)</w:t>
      </w:r>
      <w:r w:rsidRPr="001F7972">
        <w:rPr>
          <w:rFonts w:ascii="Palatino Linotype" w:hAnsi="Palatino Linotype"/>
        </w:rPr>
        <w:t xml:space="preserve"> and the </w:t>
      </w:r>
      <w:r w:rsidRPr="001F7972">
        <w:rPr>
          <w:rStyle w:val="Strong"/>
          <w:rFonts w:ascii="Palatino Linotype" w:hAnsi="Palatino Linotype"/>
        </w:rPr>
        <w:t>Fornell-Larcker criterion</w:t>
      </w:r>
      <w:r w:rsidRPr="001F7972">
        <w:rPr>
          <w:rFonts w:ascii="Palatino Linotype" w:hAnsi="Palatino Linotype"/>
        </w:rPr>
        <w:t xml:space="preserve">. According to Umaroh et al. (2023), the acceptable threshold for the </w:t>
      </w:r>
      <w:r w:rsidRPr="001F7972">
        <w:rPr>
          <w:rStyle w:val="Strong"/>
          <w:rFonts w:ascii="Palatino Linotype" w:hAnsi="Palatino Linotype"/>
        </w:rPr>
        <w:t>HTMT</w:t>
      </w:r>
      <w:r w:rsidRPr="001F7972">
        <w:rPr>
          <w:rFonts w:ascii="Palatino Linotype" w:hAnsi="Palatino Linotype"/>
        </w:rPr>
        <w:t xml:space="preserve"> approach is a maximum value of </w:t>
      </w:r>
      <w:r w:rsidRPr="001F7972">
        <w:rPr>
          <w:rStyle w:val="Strong"/>
          <w:rFonts w:ascii="Palatino Linotype" w:hAnsi="Palatino Linotype"/>
        </w:rPr>
        <w:t>0.90</w:t>
      </w:r>
      <w:r w:rsidRPr="001F7972">
        <w:rPr>
          <w:rFonts w:ascii="Palatino Linotype" w:hAnsi="Palatino Linotype"/>
        </w:rPr>
        <w:t xml:space="preserve">. Meanwhile, the </w:t>
      </w:r>
      <w:r w:rsidRPr="001F7972">
        <w:rPr>
          <w:rStyle w:val="Strong"/>
          <w:rFonts w:ascii="Palatino Linotype" w:hAnsi="Palatino Linotype"/>
        </w:rPr>
        <w:t>Fornell-Larcker</w:t>
      </w:r>
      <w:r w:rsidRPr="001F7972">
        <w:rPr>
          <w:rFonts w:ascii="Palatino Linotype" w:hAnsi="Palatino Linotype"/>
        </w:rPr>
        <w:t xml:space="preserve"> criterion requires that the square root of the </w:t>
      </w:r>
      <w:r w:rsidRPr="001F7972">
        <w:rPr>
          <w:rStyle w:val="Strong"/>
          <w:rFonts w:ascii="Palatino Linotype" w:hAnsi="Palatino Linotype"/>
        </w:rPr>
        <w:t>Average Variance Extracted (AVE)</w:t>
      </w:r>
      <w:r w:rsidRPr="001F7972">
        <w:rPr>
          <w:rFonts w:ascii="Palatino Linotype" w:hAnsi="Palatino Linotype"/>
        </w:rPr>
        <w:t xml:space="preserve"> for each construct must be greater than the correlation coefficients between that construct and the remaining latent variables in the model (Siswanto, 2022).</w:t>
      </w:r>
    </w:p>
    <w:p w:rsidR="008B3B10" w:rsidRPr="001F7972" w:rsidRDefault="008B3B10" w:rsidP="001F7972">
      <w:pPr>
        <w:pStyle w:val="NormalWeb"/>
        <w:spacing w:before="0" w:beforeAutospacing="0" w:after="0" w:afterAutospacing="0" w:line="276" w:lineRule="auto"/>
        <w:jc w:val="center"/>
        <w:rPr>
          <w:rFonts w:ascii="Palatino Linotype" w:hAnsi="Palatino Linotype"/>
        </w:rPr>
      </w:pPr>
      <w:r w:rsidRPr="001F7972">
        <w:rPr>
          <w:rStyle w:val="Strong"/>
          <w:rFonts w:ascii="Palatino Linotype" w:hAnsi="Palatino Linotype"/>
        </w:rPr>
        <w:t>Table 4. Heterotrait-Monotrait Ratio (HTMT) Analysis Results</w:t>
      </w:r>
    </w:p>
    <w:tbl>
      <w:tblPr>
        <w:tblStyle w:val="TableGrid1"/>
        <w:tblW w:w="0" w:type="auto"/>
        <w:tblInd w:w="3510" w:type="dxa"/>
        <w:tblLook w:val="04A0" w:firstRow="1" w:lastRow="0" w:firstColumn="1" w:lastColumn="0" w:noHBand="0" w:noVBand="1"/>
      </w:tblPr>
      <w:tblGrid>
        <w:gridCol w:w="643"/>
        <w:gridCol w:w="756"/>
        <w:gridCol w:w="756"/>
        <w:gridCol w:w="481"/>
      </w:tblGrid>
      <w:tr w:rsidR="008B3B10" w:rsidRPr="001F7972" w:rsidTr="001F7972">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CS</w:t>
            </w: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PSF</w:t>
            </w: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RI</w:t>
            </w:r>
          </w:p>
        </w:tc>
      </w:tr>
      <w:tr w:rsidR="008B3B10" w:rsidRPr="001F7972" w:rsidTr="001F7972">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Style w:val="Strong"/>
                <w:rFonts w:ascii="Palatino Linotype" w:hAnsi="Palatino Linotype"/>
                <w:sz w:val="24"/>
                <w:szCs w:val="24"/>
              </w:rPr>
              <w:t>CS</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1F7972">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Style w:val="Strong"/>
                <w:rFonts w:ascii="Palatino Linotype" w:hAnsi="Palatino Linotype"/>
                <w:sz w:val="24"/>
                <w:szCs w:val="24"/>
              </w:rPr>
              <w:t>PSF</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0.500</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r w:rsidR="008B3B10" w:rsidRPr="001F7972" w:rsidTr="001F7972">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Style w:val="Strong"/>
                <w:rFonts w:ascii="Palatino Linotype" w:hAnsi="Palatino Linotype"/>
                <w:sz w:val="24"/>
                <w:szCs w:val="24"/>
              </w:rPr>
              <w:t>RI</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0.825</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0.661</w:t>
            </w:r>
          </w:p>
        </w:tc>
        <w:tc>
          <w:tcPr>
            <w:tcW w:w="0" w:type="auto"/>
            <w:hideMark/>
          </w:tcPr>
          <w:p w:rsidR="008B3B10" w:rsidRPr="001F7972" w:rsidRDefault="008B3B10" w:rsidP="001F7972">
            <w:pPr>
              <w:spacing w:line="276" w:lineRule="auto"/>
              <w:jc w:val="both"/>
              <w:rPr>
                <w:rFonts w:ascii="Palatino Linotype" w:hAnsi="Palatino Linotype"/>
                <w:sz w:val="24"/>
                <w:szCs w:val="24"/>
              </w:rPr>
            </w:pPr>
          </w:p>
        </w:tc>
      </w:tr>
    </w:tbl>
    <w:p w:rsidR="008B3B10" w:rsidRPr="001F7972" w:rsidRDefault="008B3B10" w:rsidP="001F7972">
      <w:pPr>
        <w:pStyle w:val="NormalWeb"/>
        <w:spacing w:before="0" w:beforeAutospacing="0" w:after="0" w:afterAutospacing="0" w:line="276" w:lineRule="auto"/>
        <w:jc w:val="both"/>
        <w:rPr>
          <w:rFonts w:ascii="Palatino Linotype" w:hAnsi="Palatino Linotype"/>
        </w:rPr>
      </w:pPr>
      <w:r w:rsidRPr="001F7972">
        <w:rPr>
          <w:rStyle w:val="Emphasis"/>
          <w:rFonts w:ascii="Palatino Linotype" w:eastAsia="SimSun" w:hAnsi="Palatino Linotype"/>
        </w:rPr>
        <w:t>Source: Processed by the Researchers, 2026</w:t>
      </w:r>
    </w:p>
    <w:p w:rsidR="008B3B10" w:rsidRPr="001F7972" w:rsidRDefault="008B3B10" w:rsidP="001F7972">
      <w:pPr>
        <w:pStyle w:val="NormalWeb"/>
        <w:spacing w:before="0" w:beforeAutospacing="0" w:after="0" w:afterAutospacing="0" w:line="276" w:lineRule="auto"/>
        <w:jc w:val="both"/>
        <w:rPr>
          <w:rFonts w:ascii="Palatino Linotype" w:hAnsi="Palatino Linotype"/>
        </w:rPr>
      </w:pPr>
      <w:r w:rsidRPr="001F7972">
        <w:rPr>
          <w:rFonts w:ascii="Palatino Linotype" w:hAnsi="Palatino Linotype"/>
        </w:rPr>
        <w:t xml:space="preserve">The </w:t>
      </w:r>
      <w:r w:rsidRPr="001F7972">
        <w:rPr>
          <w:rStyle w:val="Strong"/>
          <w:rFonts w:ascii="Palatino Linotype" w:hAnsi="Palatino Linotype"/>
        </w:rPr>
        <w:t>Heterotrait-Monotrait Ratio (HTMT)</w:t>
      </w:r>
      <w:r w:rsidRPr="001F7972">
        <w:rPr>
          <w:rFonts w:ascii="Palatino Linotype" w:hAnsi="Palatino Linotype"/>
        </w:rPr>
        <w:t xml:space="preserve"> results presented in </w:t>
      </w:r>
      <w:r w:rsidRPr="001F7972">
        <w:rPr>
          <w:rStyle w:val="Strong"/>
          <w:rFonts w:ascii="Palatino Linotype" w:hAnsi="Palatino Linotype"/>
        </w:rPr>
        <w:t>Table 4</w:t>
      </w:r>
      <w:r w:rsidRPr="001F7972">
        <w:rPr>
          <w:rFonts w:ascii="Palatino Linotype" w:hAnsi="Palatino Linotype"/>
        </w:rPr>
        <w:t xml:space="preserve"> indicate that all inter-construct correlation values remain below the recommended threshold of </w:t>
      </w:r>
      <w:r w:rsidRPr="001F7972">
        <w:rPr>
          <w:rStyle w:val="Strong"/>
          <w:rFonts w:ascii="Palatino Linotype" w:hAnsi="Palatino Linotype"/>
        </w:rPr>
        <w:t>0.90</w:t>
      </w:r>
      <w:r w:rsidRPr="001F7972">
        <w:rPr>
          <w:rFonts w:ascii="Palatino Linotype" w:hAnsi="Palatino Linotype"/>
        </w:rPr>
        <w:t xml:space="preserve">. This finding confirms that the estimated structural model possesses excellent </w:t>
      </w:r>
      <w:r w:rsidRPr="001F7972">
        <w:rPr>
          <w:rStyle w:val="Strong"/>
          <w:rFonts w:ascii="Palatino Linotype" w:hAnsi="Palatino Linotype"/>
        </w:rPr>
        <w:t>discriminant validity</w:t>
      </w:r>
      <w:r w:rsidRPr="001F7972">
        <w:rPr>
          <w:rFonts w:ascii="Palatino Linotype" w:hAnsi="Palatino Linotype"/>
        </w:rPr>
        <w:t>, demonstrating that each latent construct is empirically distinct and uniquely represents different conceptual dimensions within the research model.</w:t>
      </w:r>
    </w:p>
    <w:p w:rsidR="008B3B10" w:rsidRPr="001F7972" w:rsidRDefault="008B3B10" w:rsidP="001F7972">
      <w:pPr>
        <w:pStyle w:val="NormalWeb"/>
        <w:spacing w:before="0" w:beforeAutospacing="0" w:after="0" w:afterAutospacing="0" w:line="276" w:lineRule="auto"/>
        <w:jc w:val="both"/>
        <w:rPr>
          <w:rFonts w:ascii="Palatino Linotype" w:hAnsi="Palatino Linotype"/>
        </w:rPr>
      </w:pPr>
      <w:r w:rsidRPr="001F7972">
        <w:rPr>
          <w:rStyle w:val="Strong"/>
          <w:rFonts w:ascii="Palatino Linotype" w:hAnsi="Palatino Linotype"/>
        </w:rPr>
        <w:t>Table 5. Fornell-Larcker Analysis Results</w:t>
      </w:r>
    </w:p>
    <w:tbl>
      <w:tblPr>
        <w:tblStyle w:val="TableGrid1"/>
        <w:tblW w:w="0" w:type="auto"/>
        <w:tblInd w:w="3085" w:type="dxa"/>
        <w:tblLook w:val="04A0" w:firstRow="1" w:lastRow="0" w:firstColumn="1" w:lastColumn="0" w:noHBand="0" w:noVBand="1"/>
      </w:tblPr>
      <w:tblGrid>
        <w:gridCol w:w="643"/>
        <w:gridCol w:w="756"/>
        <w:gridCol w:w="756"/>
        <w:gridCol w:w="756"/>
      </w:tblGrid>
      <w:tr w:rsidR="008B3B10" w:rsidRPr="001F7972" w:rsidTr="001F7972">
        <w:tc>
          <w:tcPr>
            <w:tcW w:w="0" w:type="auto"/>
            <w:hideMark/>
          </w:tcPr>
          <w:p w:rsidR="008B3B10" w:rsidRPr="001F7972" w:rsidRDefault="008B3B10" w:rsidP="001F7972">
            <w:pPr>
              <w:spacing w:line="276" w:lineRule="auto"/>
              <w:jc w:val="both"/>
              <w:rPr>
                <w:rFonts w:ascii="Palatino Linotype" w:hAnsi="Palatino Linotype"/>
                <w:sz w:val="24"/>
                <w:szCs w:val="24"/>
              </w:rPr>
            </w:pP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CS</w:t>
            </w: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PSF</w:t>
            </w:r>
          </w:p>
        </w:tc>
        <w:tc>
          <w:tcPr>
            <w:tcW w:w="0" w:type="auto"/>
            <w:hideMark/>
          </w:tcPr>
          <w:p w:rsidR="008B3B10" w:rsidRPr="001F7972" w:rsidRDefault="008B3B10" w:rsidP="001F7972">
            <w:pPr>
              <w:spacing w:line="276" w:lineRule="auto"/>
              <w:jc w:val="both"/>
              <w:rPr>
                <w:rFonts w:ascii="Palatino Linotype" w:hAnsi="Palatino Linotype"/>
                <w:b/>
                <w:bCs/>
                <w:sz w:val="24"/>
                <w:szCs w:val="24"/>
              </w:rPr>
            </w:pPr>
            <w:r w:rsidRPr="001F7972">
              <w:rPr>
                <w:rFonts w:ascii="Palatino Linotype" w:hAnsi="Palatino Linotype"/>
                <w:b/>
                <w:bCs/>
                <w:sz w:val="24"/>
                <w:szCs w:val="24"/>
              </w:rPr>
              <w:t>RI</w:t>
            </w:r>
          </w:p>
        </w:tc>
      </w:tr>
      <w:tr w:rsidR="008B3B10" w:rsidRPr="001F7972" w:rsidTr="001F7972">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Style w:val="Strong"/>
                <w:rFonts w:ascii="Palatino Linotype" w:hAnsi="Palatino Linotype"/>
                <w:sz w:val="24"/>
                <w:szCs w:val="24"/>
              </w:rPr>
              <w:t>CS</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0.816</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0.000</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0.000</w:t>
            </w:r>
          </w:p>
        </w:tc>
      </w:tr>
      <w:tr w:rsidR="008B3B10" w:rsidRPr="001F7972" w:rsidTr="001F7972">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Style w:val="Strong"/>
                <w:rFonts w:ascii="Palatino Linotype" w:hAnsi="Palatino Linotype"/>
                <w:sz w:val="24"/>
                <w:szCs w:val="24"/>
              </w:rPr>
              <w:t>PSF</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0.461</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0.852</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0.000</w:t>
            </w:r>
          </w:p>
        </w:tc>
      </w:tr>
      <w:tr w:rsidR="008B3B10" w:rsidRPr="001F7972" w:rsidTr="001F7972">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Style w:val="Strong"/>
                <w:rFonts w:ascii="Palatino Linotype" w:hAnsi="Palatino Linotype"/>
                <w:sz w:val="24"/>
                <w:szCs w:val="24"/>
              </w:rPr>
              <w:t>RI</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0.715</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0.584</w:t>
            </w:r>
          </w:p>
        </w:tc>
        <w:tc>
          <w:tcPr>
            <w:tcW w:w="0" w:type="auto"/>
            <w:hideMark/>
          </w:tcPr>
          <w:p w:rsidR="008B3B10" w:rsidRPr="001F7972" w:rsidRDefault="008B3B10" w:rsidP="001F7972">
            <w:pPr>
              <w:spacing w:line="276" w:lineRule="auto"/>
              <w:jc w:val="both"/>
              <w:rPr>
                <w:rFonts w:ascii="Palatino Linotype" w:hAnsi="Palatino Linotype"/>
                <w:sz w:val="24"/>
                <w:szCs w:val="24"/>
              </w:rPr>
            </w:pPr>
            <w:r w:rsidRPr="001F7972">
              <w:rPr>
                <w:rFonts w:ascii="Palatino Linotype" w:hAnsi="Palatino Linotype"/>
                <w:sz w:val="24"/>
                <w:szCs w:val="24"/>
              </w:rPr>
              <w:t>0.815</w:t>
            </w:r>
          </w:p>
        </w:tc>
      </w:tr>
    </w:tbl>
    <w:p w:rsidR="008B3B10" w:rsidRPr="001F7972" w:rsidRDefault="008B3B10" w:rsidP="001F7972">
      <w:pPr>
        <w:pStyle w:val="NormalWeb"/>
        <w:spacing w:before="0" w:beforeAutospacing="0" w:after="0" w:afterAutospacing="0" w:line="276" w:lineRule="auto"/>
        <w:jc w:val="center"/>
        <w:rPr>
          <w:rFonts w:ascii="Palatino Linotype" w:hAnsi="Palatino Linotype"/>
        </w:rPr>
      </w:pPr>
      <w:r w:rsidRPr="001F7972">
        <w:rPr>
          <w:rStyle w:val="Emphasis"/>
          <w:rFonts w:ascii="Palatino Linotype" w:eastAsia="SimSun" w:hAnsi="Palatino Linotype"/>
        </w:rPr>
        <w:t>Source: Processed by the Researchers, 2026</w:t>
      </w:r>
    </w:p>
    <w:p w:rsidR="008B3B10" w:rsidRPr="001F7972" w:rsidRDefault="008B3B10" w:rsidP="001F7972">
      <w:pPr>
        <w:pStyle w:val="NormalWeb"/>
        <w:spacing w:before="0" w:beforeAutospacing="0" w:after="0" w:afterAutospacing="0" w:line="276" w:lineRule="auto"/>
        <w:ind w:firstLine="567"/>
        <w:jc w:val="both"/>
        <w:rPr>
          <w:rFonts w:ascii="Palatino Linotype" w:hAnsi="Palatino Linotype"/>
        </w:rPr>
      </w:pPr>
      <w:r w:rsidRPr="001F7972">
        <w:rPr>
          <w:rFonts w:ascii="Palatino Linotype" w:hAnsi="Palatino Linotype"/>
        </w:rPr>
        <w:lastRenderedPageBreak/>
        <w:t xml:space="preserve">Based on the results obtained using the </w:t>
      </w:r>
      <w:r w:rsidRPr="001F7972">
        <w:rPr>
          <w:rStyle w:val="Strong"/>
          <w:rFonts w:ascii="Palatino Linotype" w:hAnsi="Palatino Linotype"/>
        </w:rPr>
        <w:t>Fornell-Larcker</w:t>
      </w:r>
      <w:r w:rsidRPr="001F7972">
        <w:rPr>
          <w:rFonts w:ascii="Palatino Linotype" w:hAnsi="Palatino Linotype"/>
        </w:rPr>
        <w:t xml:space="preserve"> criterion presented in </w:t>
      </w:r>
      <w:r w:rsidRPr="001F7972">
        <w:rPr>
          <w:rStyle w:val="Strong"/>
          <w:rFonts w:ascii="Palatino Linotype" w:hAnsi="Palatino Linotype"/>
        </w:rPr>
        <w:t>Table 5</w:t>
      </w:r>
      <w:r w:rsidRPr="001F7972">
        <w:rPr>
          <w:rFonts w:ascii="Palatino Linotype" w:hAnsi="Palatino Linotype"/>
        </w:rPr>
        <w:t xml:space="preserve">, the square root of the </w:t>
      </w:r>
      <w:r w:rsidRPr="001F7972">
        <w:rPr>
          <w:rStyle w:val="Strong"/>
          <w:rFonts w:ascii="Palatino Linotype" w:hAnsi="Palatino Linotype"/>
        </w:rPr>
        <w:t>Average Variance Extracted (AVE)</w:t>
      </w:r>
      <w:r w:rsidRPr="001F7972">
        <w:rPr>
          <w:rFonts w:ascii="Palatino Linotype" w:hAnsi="Palatino Linotype"/>
        </w:rPr>
        <w:t xml:space="preserve"> for each latent construct is greater than the corresponding correlations with all other constructs in the model. These findings confirm that every latent variable included in this study successfully satisfies the requirements of </w:t>
      </w:r>
      <w:r w:rsidRPr="001F7972">
        <w:rPr>
          <w:rStyle w:val="Strong"/>
          <w:rFonts w:ascii="Palatino Linotype" w:hAnsi="Palatino Linotype"/>
        </w:rPr>
        <w:t>discriminant validity</w:t>
      </w:r>
      <w:r w:rsidRPr="001F7972">
        <w:rPr>
          <w:rFonts w:ascii="Palatino Linotype" w:hAnsi="Palatino Linotype"/>
        </w:rPr>
        <w:t xml:space="preserve">, indicating that the research instrument effectively distinguishes the specific phenomena represented by each measured construct. Following the confirmation that the measurement model is both valid and reliable, the subsequent stage involves evaluating the </w:t>
      </w:r>
      <w:r w:rsidRPr="001F7972">
        <w:rPr>
          <w:rStyle w:val="Strong"/>
          <w:rFonts w:ascii="Palatino Linotype" w:hAnsi="Palatino Linotype"/>
        </w:rPr>
        <w:t>structural model (inner model)</w:t>
      </w:r>
      <w:r w:rsidRPr="001F7972">
        <w:rPr>
          <w:rFonts w:ascii="Palatino Linotype" w:hAnsi="Palatino Linotype"/>
        </w:rPr>
        <w:t xml:space="preserve"> to assess the predictive capability of the model and to examine the causal relationships among the latent constructs.</w:t>
      </w:r>
    </w:p>
    <w:p w:rsidR="008B3B10" w:rsidRPr="001F7972" w:rsidRDefault="008B3B10" w:rsidP="001F7972">
      <w:pPr>
        <w:pStyle w:val="Heading3"/>
        <w:spacing w:before="0" w:line="276" w:lineRule="auto"/>
        <w:jc w:val="both"/>
        <w:rPr>
          <w:rFonts w:ascii="Palatino Linotype" w:hAnsi="Palatino Linotype"/>
          <w:b/>
        </w:rPr>
      </w:pPr>
      <w:r w:rsidRPr="001F7972">
        <w:rPr>
          <w:rFonts w:ascii="Palatino Linotype" w:hAnsi="Palatino Linotype"/>
          <w:b/>
        </w:rPr>
        <w:t>Inner Model</w:t>
      </w:r>
    </w:p>
    <w:p w:rsidR="008B3B10" w:rsidRPr="001F7972" w:rsidRDefault="008B3B10" w:rsidP="001F7972">
      <w:pPr>
        <w:widowControl/>
        <w:spacing w:line="276" w:lineRule="auto"/>
        <w:ind w:firstLine="567"/>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This study employed the </w:t>
      </w:r>
      <w:r w:rsidRPr="001F7972">
        <w:rPr>
          <w:rFonts w:ascii="Palatino Linotype" w:eastAsia="Times New Roman" w:hAnsi="Palatino Linotype"/>
          <w:b/>
          <w:bCs/>
          <w:sz w:val="24"/>
          <w:szCs w:val="24"/>
          <w:lang w:val="en-US"/>
        </w:rPr>
        <w:t>bootstrapping technique</w:t>
      </w:r>
      <w:r w:rsidRPr="001F7972">
        <w:rPr>
          <w:rFonts w:ascii="Palatino Linotype" w:eastAsia="Times New Roman" w:hAnsi="Palatino Linotype"/>
          <w:sz w:val="24"/>
          <w:szCs w:val="24"/>
          <w:lang w:val="en-US"/>
        </w:rPr>
        <w:t xml:space="preserve"> by performing </w:t>
      </w:r>
      <w:r w:rsidRPr="001F7972">
        <w:rPr>
          <w:rFonts w:ascii="Palatino Linotype" w:eastAsia="Times New Roman" w:hAnsi="Palatino Linotype"/>
          <w:b/>
          <w:bCs/>
          <w:sz w:val="24"/>
          <w:szCs w:val="24"/>
          <w:lang w:val="en-US"/>
        </w:rPr>
        <w:t>5,000 resampling iterations</w:t>
      </w:r>
      <w:r w:rsidRPr="001F7972">
        <w:rPr>
          <w:rFonts w:ascii="Palatino Linotype" w:eastAsia="Times New Roman" w:hAnsi="Palatino Linotype"/>
          <w:sz w:val="24"/>
          <w:szCs w:val="24"/>
          <w:lang w:val="en-US"/>
        </w:rPr>
        <w:t xml:space="preserve"> to minimize the impact of non-normal data distribution encountered in the field (Riyanto &amp; Setyorini, 2024). According to Siswanto (2022), the primary objective of evaluating the </w:t>
      </w:r>
      <w:r w:rsidRPr="001F7972">
        <w:rPr>
          <w:rFonts w:ascii="Palatino Linotype" w:eastAsia="Times New Roman" w:hAnsi="Palatino Linotype"/>
          <w:b/>
          <w:bCs/>
          <w:sz w:val="24"/>
          <w:szCs w:val="24"/>
          <w:lang w:val="en-US"/>
        </w:rPr>
        <w:t>structural model (inner model)</w:t>
      </w:r>
      <w:r w:rsidRPr="001F7972">
        <w:rPr>
          <w:rFonts w:ascii="Palatino Linotype" w:eastAsia="Times New Roman" w:hAnsi="Palatino Linotype"/>
          <w:sz w:val="24"/>
          <w:szCs w:val="24"/>
          <w:lang w:val="en-US"/>
        </w:rPr>
        <w:t xml:space="preserve"> is to enable researchers to observe and analyze the causal relationships between exogenous constructs (independent variables) and endogenous constructs (dependent variables) within the proposed model. The structural model evaluation was systematically conducted through the </w:t>
      </w:r>
      <w:r w:rsidRPr="001F7972">
        <w:rPr>
          <w:rFonts w:ascii="Palatino Linotype" w:eastAsia="Times New Roman" w:hAnsi="Palatino Linotype"/>
          <w:b/>
          <w:bCs/>
          <w:sz w:val="24"/>
          <w:szCs w:val="24"/>
          <w:lang w:val="en-US"/>
        </w:rPr>
        <w:t>coefficient of determination (R²)</w:t>
      </w:r>
      <w:r w:rsidRPr="001F7972">
        <w:rPr>
          <w:rFonts w:ascii="Palatino Linotype" w:eastAsia="Times New Roman" w:hAnsi="Palatino Linotype"/>
          <w:sz w:val="24"/>
          <w:szCs w:val="24"/>
          <w:lang w:val="en-US"/>
        </w:rPr>
        <w:t xml:space="preserve"> analysis.</w:t>
      </w:r>
    </w:p>
    <w:p w:rsidR="008B3B10" w:rsidRPr="001F7972" w:rsidRDefault="008B3B10" w:rsidP="001F7972">
      <w:pPr>
        <w:widowControl/>
        <w:spacing w:line="276" w:lineRule="auto"/>
        <w:ind w:firstLine="567"/>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The predictive strength of the model was evaluated using the </w:t>
      </w:r>
      <w:r w:rsidRPr="001F7972">
        <w:rPr>
          <w:rFonts w:ascii="Palatino Linotype" w:eastAsia="Times New Roman" w:hAnsi="Palatino Linotype"/>
          <w:b/>
          <w:bCs/>
          <w:sz w:val="24"/>
          <w:szCs w:val="24"/>
          <w:lang w:val="en-US"/>
        </w:rPr>
        <w:t>coefficient of determination (R²)</w:t>
      </w:r>
      <w:r w:rsidRPr="001F7972">
        <w:rPr>
          <w:rFonts w:ascii="Palatino Linotype" w:eastAsia="Times New Roman" w:hAnsi="Palatino Linotype"/>
          <w:sz w:val="24"/>
          <w:szCs w:val="24"/>
          <w:lang w:val="en-US"/>
        </w:rPr>
        <w:t xml:space="preserve">, where the explanatory power of the model is classified as </w:t>
      </w:r>
      <w:r w:rsidRPr="001F7972">
        <w:rPr>
          <w:rFonts w:ascii="Palatino Linotype" w:eastAsia="Times New Roman" w:hAnsi="Palatino Linotype"/>
          <w:b/>
          <w:bCs/>
          <w:sz w:val="24"/>
          <w:szCs w:val="24"/>
          <w:lang w:val="en-US"/>
        </w:rPr>
        <w:t>weak</w:t>
      </w:r>
      <w:r w:rsidRPr="001F7972">
        <w:rPr>
          <w:rFonts w:ascii="Palatino Linotype" w:eastAsia="Times New Roman" w:hAnsi="Palatino Linotype"/>
          <w:sz w:val="24"/>
          <w:szCs w:val="24"/>
          <w:lang w:val="en-US"/>
        </w:rPr>
        <w:t xml:space="preserve"> when </w:t>
      </w:r>
      <w:r w:rsidRPr="001F7972">
        <w:rPr>
          <w:rFonts w:ascii="Palatino Linotype" w:eastAsia="Times New Roman" w:hAnsi="Palatino Linotype"/>
          <w:b/>
          <w:bCs/>
          <w:sz w:val="24"/>
          <w:szCs w:val="24"/>
          <w:lang w:val="en-US"/>
        </w:rPr>
        <w:t>R² &gt; 0.25</w:t>
      </w:r>
      <w:r w:rsidRPr="001F7972">
        <w:rPr>
          <w:rFonts w:ascii="Palatino Linotype" w:eastAsia="Times New Roman" w:hAnsi="Palatino Linotype"/>
          <w:sz w:val="24"/>
          <w:szCs w:val="24"/>
          <w:lang w:val="en-US"/>
        </w:rPr>
        <w:t xml:space="preserve">, </w:t>
      </w:r>
      <w:r w:rsidRPr="001F7972">
        <w:rPr>
          <w:rFonts w:ascii="Palatino Linotype" w:eastAsia="Times New Roman" w:hAnsi="Palatino Linotype"/>
          <w:b/>
          <w:bCs/>
          <w:sz w:val="24"/>
          <w:szCs w:val="24"/>
          <w:lang w:val="en-US"/>
        </w:rPr>
        <w:t>moderate</w:t>
      </w:r>
      <w:r w:rsidRPr="001F7972">
        <w:rPr>
          <w:rFonts w:ascii="Palatino Linotype" w:eastAsia="Times New Roman" w:hAnsi="Palatino Linotype"/>
          <w:sz w:val="24"/>
          <w:szCs w:val="24"/>
          <w:lang w:val="en-US"/>
        </w:rPr>
        <w:t xml:space="preserve"> when </w:t>
      </w:r>
      <w:r w:rsidRPr="001F7972">
        <w:rPr>
          <w:rFonts w:ascii="Palatino Linotype" w:eastAsia="Times New Roman" w:hAnsi="Palatino Linotype"/>
          <w:b/>
          <w:bCs/>
          <w:sz w:val="24"/>
          <w:szCs w:val="24"/>
          <w:lang w:val="en-US"/>
        </w:rPr>
        <w:t>R² &gt; 0.50</w:t>
      </w:r>
      <w:r w:rsidRPr="001F7972">
        <w:rPr>
          <w:rFonts w:ascii="Palatino Linotype" w:eastAsia="Times New Roman" w:hAnsi="Palatino Linotype"/>
          <w:sz w:val="24"/>
          <w:szCs w:val="24"/>
          <w:lang w:val="en-US"/>
        </w:rPr>
        <w:t xml:space="preserve">, and </w:t>
      </w:r>
      <w:r w:rsidRPr="001F7972">
        <w:rPr>
          <w:rFonts w:ascii="Palatino Linotype" w:eastAsia="Times New Roman" w:hAnsi="Palatino Linotype"/>
          <w:b/>
          <w:bCs/>
          <w:sz w:val="24"/>
          <w:szCs w:val="24"/>
          <w:lang w:val="en-US"/>
        </w:rPr>
        <w:t>strong</w:t>
      </w:r>
      <w:r w:rsidRPr="001F7972">
        <w:rPr>
          <w:rFonts w:ascii="Palatino Linotype" w:eastAsia="Times New Roman" w:hAnsi="Palatino Linotype"/>
          <w:sz w:val="24"/>
          <w:szCs w:val="24"/>
          <w:lang w:val="en-US"/>
        </w:rPr>
        <w:t xml:space="preserve"> when </w:t>
      </w:r>
      <w:r w:rsidRPr="001F7972">
        <w:rPr>
          <w:rFonts w:ascii="Palatino Linotype" w:eastAsia="Times New Roman" w:hAnsi="Palatino Linotype"/>
          <w:b/>
          <w:bCs/>
          <w:sz w:val="24"/>
          <w:szCs w:val="24"/>
          <w:lang w:val="en-US"/>
        </w:rPr>
        <w:t>R² &gt; 0.75</w:t>
      </w:r>
      <w:r w:rsidRPr="001F7972">
        <w:rPr>
          <w:rFonts w:ascii="Palatino Linotype" w:eastAsia="Times New Roman" w:hAnsi="Palatino Linotype"/>
          <w:sz w:val="24"/>
          <w:szCs w:val="24"/>
          <w:lang w:val="en-US"/>
        </w:rPr>
        <w:t xml:space="preserve"> (Umaroh et al., 2023). Based on the coefficient of determination analysis, the model's ability to predict </w:t>
      </w:r>
      <w:r w:rsidRPr="001F7972">
        <w:rPr>
          <w:rFonts w:ascii="Palatino Linotype" w:eastAsia="Times New Roman" w:hAnsi="Palatino Linotype"/>
          <w:b/>
          <w:bCs/>
          <w:sz w:val="24"/>
          <w:szCs w:val="24"/>
          <w:lang w:val="en-US"/>
        </w:rPr>
        <w:t>Customer Satisfaction</w:t>
      </w:r>
      <w:r w:rsidRPr="001F7972">
        <w:rPr>
          <w:rFonts w:ascii="Palatino Linotype" w:eastAsia="Times New Roman" w:hAnsi="Palatino Linotype"/>
          <w:sz w:val="24"/>
          <w:szCs w:val="24"/>
          <w:lang w:val="en-US"/>
        </w:rPr>
        <w:t xml:space="preserve"> was categorized as weak, with an </w:t>
      </w:r>
      <w:r w:rsidRPr="001F7972">
        <w:rPr>
          <w:rFonts w:ascii="Palatino Linotype" w:eastAsia="Times New Roman" w:hAnsi="Palatino Linotype"/>
          <w:b/>
          <w:bCs/>
          <w:sz w:val="24"/>
          <w:szCs w:val="24"/>
          <w:lang w:val="en-US"/>
        </w:rPr>
        <w:t>R² value of 0.212</w:t>
      </w:r>
      <w:r w:rsidRPr="001F7972">
        <w:rPr>
          <w:rFonts w:ascii="Palatino Linotype" w:eastAsia="Times New Roman" w:hAnsi="Palatino Linotype"/>
          <w:sz w:val="24"/>
          <w:szCs w:val="24"/>
          <w:lang w:val="en-US"/>
        </w:rPr>
        <w:t xml:space="preserve">, indicating that only </w:t>
      </w:r>
      <w:r w:rsidRPr="001F7972">
        <w:rPr>
          <w:rFonts w:ascii="Palatino Linotype" w:eastAsia="Times New Roman" w:hAnsi="Palatino Linotype"/>
          <w:b/>
          <w:bCs/>
          <w:sz w:val="24"/>
          <w:szCs w:val="24"/>
          <w:lang w:val="en-US"/>
        </w:rPr>
        <w:t>21.2%</w:t>
      </w:r>
      <w:r w:rsidRPr="001F7972">
        <w:rPr>
          <w:rFonts w:ascii="Palatino Linotype" w:eastAsia="Times New Roman" w:hAnsi="Palatino Linotype"/>
          <w:sz w:val="24"/>
          <w:szCs w:val="24"/>
          <w:lang w:val="en-US"/>
        </w:rPr>
        <w:t xml:space="preserve"> of the variance in Customer Satisfaction could be explained by the internal predictors included in the model, while the remaining </w:t>
      </w:r>
      <w:r w:rsidRPr="001F7972">
        <w:rPr>
          <w:rFonts w:ascii="Palatino Linotype" w:eastAsia="Times New Roman" w:hAnsi="Palatino Linotype"/>
          <w:b/>
          <w:bCs/>
          <w:sz w:val="24"/>
          <w:szCs w:val="24"/>
          <w:lang w:val="en-US"/>
        </w:rPr>
        <w:t>78.8%</w:t>
      </w:r>
      <w:r w:rsidRPr="001F7972">
        <w:rPr>
          <w:rFonts w:ascii="Palatino Linotype" w:eastAsia="Times New Roman" w:hAnsi="Palatino Linotype"/>
          <w:sz w:val="24"/>
          <w:szCs w:val="24"/>
          <w:lang w:val="en-US"/>
        </w:rPr>
        <w:t xml:space="preserve"> was influenced by other variables outside the research model. This interpretation is reinforced by the </w:t>
      </w:r>
      <w:r w:rsidRPr="001F7972">
        <w:rPr>
          <w:rFonts w:ascii="Palatino Linotype" w:eastAsia="Times New Roman" w:hAnsi="Palatino Linotype"/>
          <w:b/>
          <w:bCs/>
          <w:sz w:val="24"/>
          <w:szCs w:val="24"/>
          <w:lang w:val="en-US"/>
        </w:rPr>
        <w:t>Adjusted R² value of 0.208</w:t>
      </w:r>
      <w:r w:rsidRPr="001F7972">
        <w:rPr>
          <w:rFonts w:ascii="Palatino Linotype" w:eastAsia="Times New Roman" w:hAnsi="Palatino Linotype"/>
          <w:sz w:val="24"/>
          <w:szCs w:val="24"/>
          <w:lang w:val="en-US"/>
        </w:rPr>
        <w:t xml:space="preserve">, reflecting the relatively limited simultaneous contribution of the proposed model to explaining Customer Satisfaction. In contrast, the </w:t>
      </w:r>
      <w:r w:rsidRPr="001F7972">
        <w:rPr>
          <w:rFonts w:ascii="Palatino Linotype" w:eastAsia="Times New Roman" w:hAnsi="Palatino Linotype"/>
          <w:b/>
          <w:bCs/>
          <w:sz w:val="24"/>
          <w:szCs w:val="24"/>
          <w:lang w:val="en-US"/>
        </w:rPr>
        <w:t>Revisit Intention</w:t>
      </w:r>
      <w:r w:rsidRPr="001F7972">
        <w:rPr>
          <w:rFonts w:ascii="Palatino Linotype" w:eastAsia="Times New Roman" w:hAnsi="Palatino Linotype"/>
          <w:sz w:val="24"/>
          <w:szCs w:val="24"/>
          <w:lang w:val="en-US"/>
        </w:rPr>
        <w:t xml:space="preserve"> construct demonstrated </w:t>
      </w:r>
      <w:r w:rsidRPr="001F7972">
        <w:rPr>
          <w:rFonts w:ascii="Palatino Linotype" w:eastAsia="Times New Roman" w:hAnsi="Palatino Linotype"/>
          <w:b/>
          <w:bCs/>
          <w:sz w:val="24"/>
          <w:szCs w:val="24"/>
          <w:lang w:val="en-US"/>
        </w:rPr>
        <w:t>moderate predictive power</w:t>
      </w:r>
      <w:r w:rsidRPr="001F7972">
        <w:rPr>
          <w:rFonts w:ascii="Palatino Linotype" w:eastAsia="Times New Roman" w:hAnsi="Palatino Linotype"/>
          <w:sz w:val="24"/>
          <w:szCs w:val="24"/>
          <w:lang w:val="en-US"/>
        </w:rPr>
        <w:t xml:space="preserve">, with an </w:t>
      </w:r>
      <w:r w:rsidRPr="001F7972">
        <w:rPr>
          <w:rFonts w:ascii="Palatino Linotype" w:eastAsia="Times New Roman" w:hAnsi="Palatino Linotype"/>
          <w:b/>
          <w:bCs/>
          <w:sz w:val="24"/>
          <w:szCs w:val="24"/>
          <w:lang w:val="en-US"/>
        </w:rPr>
        <w:t>R² value of 0.594</w:t>
      </w:r>
      <w:r w:rsidRPr="001F7972">
        <w:rPr>
          <w:rFonts w:ascii="Palatino Linotype" w:eastAsia="Times New Roman" w:hAnsi="Palatino Linotype"/>
          <w:sz w:val="24"/>
          <w:szCs w:val="24"/>
          <w:lang w:val="en-US"/>
        </w:rPr>
        <w:t xml:space="preserve">, indicating that </w:t>
      </w:r>
      <w:r w:rsidRPr="001F7972">
        <w:rPr>
          <w:rFonts w:ascii="Palatino Linotype" w:eastAsia="Times New Roman" w:hAnsi="Palatino Linotype"/>
          <w:b/>
          <w:bCs/>
          <w:sz w:val="24"/>
          <w:szCs w:val="24"/>
          <w:lang w:val="en-US"/>
        </w:rPr>
        <w:t>59.4%</w:t>
      </w:r>
      <w:r w:rsidRPr="001F7972">
        <w:rPr>
          <w:rFonts w:ascii="Palatino Linotype" w:eastAsia="Times New Roman" w:hAnsi="Palatino Linotype"/>
          <w:sz w:val="24"/>
          <w:szCs w:val="24"/>
          <w:lang w:val="en-US"/>
        </w:rPr>
        <w:t xml:space="preserve"> of its variance was explained by the model. This result was further supported by a stable </w:t>
      </w:r>
      <w:r w:rsidRPr="001F7972">
        <w:rPr>
          <w:rFonts w:ascii="Palatino Linotype" w:eastAsia="Times New Roman" w:hAnsi="Palatino Linotype"/>
          <w:b/>
          <w:bCs/>
          <w:sz w:val="24"/>
          <w:szCs w:val="24"/>
          <w:lang w:val="en-US"/>
        </w:rPr>
        <w:t>Adjusted R² value of 0.589</w:t>
      </w:r>
      <w:r w:rsidRPr="001F7972">
        <w:rPr>
          <w:rFonts w:ascii="Palatino Linotype" w:eastAsia="Times New Roman" w:hAnsi="Palatino Linotype"/>
          <w:sz w:val="24"/>
          <w:szCs w:val="24"/>
          <w:lang w:val="en-US"/>
        </w:rPr>
        <w:t xml:space="preserve">, suggesting that the structural model consistently predicts customers' intention to revisit. Therefore, the conceptual framework proposed in this study demonstrates substantially greater relevance and stability in predicting </w:t>
      </w:r>
      <w:r w:rsidRPr="001F7972">
        <w:rPr>
          <w:rFonts w:ascii="Palatino Linotype" w:eastAsia="Times New Roman" w:hAnsi="Palatino Linotype"/>
          <w:b/>
          <w:bCs/>
          <w:sz w:val="24"/>
          <w:szCs w:val="24"/>
          <w:lang w:val="en-US"/>
        </w:rPr>
        <w:t>Revisit Intention</w:t>
      </w:r>
      <w:r w:rsidRPr="001F7972">
        <w:rPr>
          <w:rFonts w:ascii="Palatino Linotype" w:eastAsia="Times New Roman" w:hAnsi="Palatino Linotype"/>
          <w:sz w:val="24"/>
          <w:szCs w:val="24"/>
          <w:lang w:val="en-US"/>
        </w:rPr>
        <w:t xml:space="preserve"> than </w:t>
      </w:r>
      <w:r w:rsidRPr="001F7972">
        <w:rPr>
          <w:rFonts w:ascii="Palatino Linotype" w:eastAsia="Times New Roman" w:hAnsi="Palatino Linotype"/>
          <w:b/>
          <w:bCs/>
          <w:sz w:val="24"/>
          <w:szCs w:val="24"/>
          <w:lang w:val="en-US"/>
        </w:rPr>
        <w:t>Customer Satisfaction</w:t>
      </w:r>
      <w:r w:rsidRPr="001F7972">
        <w:rPr>
          <w:rFonts w:ascii="Palatino Linotype" w:eastAsia="Times New Roman" w:hAnsi="Palatino Linotype"/>
          <w:sz w:val="24"/>
          <w:szCs w:val="24"/>
          <w:lang w:val="en-US"/>
        </w:rPr>
        <w:t xml:space="preserve">, implying that future </w:t>
      </w:r>
      <w:r w:rsidRPr="001F7972">
        <w:rPr>
          <w:rFonts w:ascii="Palatino Linotype" w:eastAsia="Times New Roman" w:hAnsi="Palatino Linotype"/>
          <w:sz w:val="24"/>
          <w:szCs w:val="24"/>
          <w:lang w:val="en-US"/>
        </w:rPr>
        <w:lastRenderedPageBreak/>
        <w:t>studies should incorporate additional exogenous variables to improve the predictive accuracy of Customer Satisfaction within the Galatama fishing context.</w:t>
      </w:r>
    </w:p>
    <w:p w:rsidR="008B3B10" w:rsidRPr="001F7972" w:rsidRDefault="008B3B10" w:rsidP="001F7972">
      <w:pPr>
        <w:widowControl/>
        <w:spacing w:line="276" w:lineRule="auto"/>
        <w:ind w:firstLine="567"/>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In addition to evaluating the inner model, the study also assessed the </w:t>
      </w:r>
      <w:r w:rsidRPr="001F7972">
        <w:rPr>
          <w:rFonts w:ascii="Palatino Linotype" w:eastAsia="Times New Roman" w:hAnsi="Palatino Linotype"/>
          <w:b/>
          <w:bCs/>
          <w:sz w:val="24"/>
          <w:szCs w:val="24"/>
          <w:lang w:val="en-US"/>
        </w:rPr>
        <w:t>Goodness of Fit (GoF)</w:t>
      </w:r>
      <w:r w:rsidRPr="001F7972">
        <w:rPr>
          <w:rFonts w:ascii="Palatino Linotype" w:eastAsia="Times New Roman" w:hAnsi="Palatino Linotype"/>
          <w:sz w:val="24"/>
          <w:szCs w:val="24"/>
          <w:lang w:val="en-US"/>
        </w:rPr>
        <w:t xml:space="preserve"> of the structural model using the criteria of </w:t>
      </w:r>
      <w:r w:rsidRPr="001F7972">
        <w:rPr>
          <w:rFonts w:ascii="Palatino Linotype" w:eastAsia="Times New Roman" w:hAnsi="Palatino Linotype"/>
          <w:b/>
          <w:bCs/>
          <w:sz w:val="24"/>
          <w:szCs w:val="24"/>
          <w:lang w:val="en-US"/>
        </w:rPr>
        <w:t>Standardized Root Mean Square Residual (SRMR) &lt; 0.08</w:t>
      </w:r>
      <w:r w:rsidRPr="001F7972">
        <w:rPr>
          <w:rFonts w:ascii="Palatino Linotype" w:eastAsia="Times New Roman" w:hAnsi="Palatino Linotype"/>
          <w:sz w:val="24"/>
          <w:szCs w:val="24"/>
          <w:lang w:val="en-US"/>
        </w:rPr>
        <w:t xml:space="preserve"> and </w:t>
      </w:r>
      <w:r w:rsidRPr="001F7972">
        <w:rPr>
          <w:rFonts w:ascii="Palatino Linotype" w:eastAsia="Times New Roman" w:hAnsi="Palatino Linotype"/>
          <w:b/>
          <w:bCs/>
          <w:sz w:val="24"/>
          <w:szCs w:val="24"/>
          <w:lang w:val="en-US"/>
        </w:rPr>
        <w:t>Normed Fit Index (NFI) &gt; 0.90</w:t>
      </w:r>
      <w:r w:rsidRPr="001F7972">
        <w:rPr>
          <w:rFonts w:ascii="Palatino Linotype" w:eastAsia="Times New Roman" w:hAnsi="Palatino Linotype"/>
          <w:sz w:val="24"/>
          <w:szCs w:val="24"/>
          <w:lang w:val="en-US"/>
        </w:rPr>
        <w:t xml:space="preserve"> (Hair, Black, et al., 2019). Based on the model fit assessment, the estimated </w:t>
      </w:r>
      <w:r w:rsidRPr="001F7972">
        <w:rPr>
          <w:rFonts w:ascii="Palatino Linotype" w:eastAsia="Times New Roman" w:hAnsi="Palatino Linotype"/>
          <w:b/>
          <w:bCs/>
          <w:sz w:val="24"/>
          <w:szCs w:val="24"/>
          <w:lang w:val="en-US"/>
        </w:rPr>
        <w:t>SRMR value</w:t>
      </w:r>
      <w:r w:rsidRPr="001F7972">
        <w:rPr>
          <w:rFonts w:ascii="Palatino Linotype" w:eastAsia="Times New Roman" w:hAnsi="Palatino Linotype"/>
          <w:sz w:val="24"/>
          <w:szCs w:val="24"/>
          <w:lang w:val="en-US"/>
        </w:rPr>
        <w:t xml:space="preserve"> was </w:t>
      </w:r>
      <w:r w:rsidRPr="001F7972">
        <w:rPr>
          <w:rFonts w:ascii="Palatino Linotype" w:eastAsia="Times New Roman" w:hAnsi="Palatino Linotype"/>
          <w:b/>
          <w:bCs/>
          <w:sz w:val="24"/>
          <w:szCs w:val="24"/>
          <w:lang w:val="en-US"/>
        </w:rPr>
        <w:t>0.055</w:t>
      </w:r>
      <w:r w:rsidRPr="001F7972">
        <w:rPr>
          <w:rFonts w:ascii="Palatino Linotype" w:eastAsia="Times New Roman" w:hAnsi="Palatino Linotype"/>
          <w:sz w:val="24"/>
          <w:szCs w:val="24"/>
          <w:lang w:val="en-US"/>
        </w:rPr>
        <w:t xml:space="preserve">, which is below the maximum acceptable threshold of </w:t>
      </w:r>
      <w:r w:rsidRPr="001F7972">
        <w:rPr>
          <w:rFonts w:ascii="Palatino Linotype" w:eastAsia="Times New Roman" w:hAnsi="Palatino Linotype"/>
          <w:b/>
          <w:bCs/>
          <w:sz w:val="24"/>
          <w:szCs w:val="24"/>
          <w:lang w:val="en-US"/>
        </w:rPr>
        <w:t>0.08</w:t>
      </w:r>
      <w:r w:rsidRPr="001F7972">
        <w:rPr>
          <w:rFonts w:ascii="Palatino Linotype" w:eastAsia="Times New Roman" w:hAnsi="Palatino Linotype"/>
          <w:sz w:val="24"/>
          <w:szCs w:val="24"/>
          <w:lang w:val="en-US"/>
        </w:rPr>
        <w:t xml:space="preserve">, thereby confirming that the structural model satisfies the absolute model fit criterion. On the other hand, the estimated </w:t>
      </w:r>
      <w:r w:rsidRPr="001F7972">
        <w:rPr>
          <w:rFonts w:ascii="Palatino Linotype" w:eastAsia="Times New Roman" w:hAnsi="Palatino Linotype"/>
          <w:b/>
          <w:bCs/>
          <w:sz w:val="24"/>
          <w:szCs w:val="24"/>
          <w:lang w:val="en-US"/>
        </w:rPr>
        <w:t>Normed Fit Index (NFI)</w:t>
      </w:r>
      <w:r w:rsidRPr="001F7972">
        <w:rPr>
          <w:rFonts w:ascii="Palatino Linotype" w:eastAsia="Times New Roman" w:hAnsi="Palatino Linotype"/>
          <w:sz w:val="24"/>
          <w:szCs w:val="24"/>
          <w:lang w:val="en-US"/>
        </w:rPr>
        <w:t xml:space="preserve"> was </w:t>
      </w:r>
      <w:r w:rsidRPr="001F7972">
        <w:rPr>
          <w:rFonts w:ascii="Palatino Linotype" w:eastAsia="Times New Roman" w:hAnsi="Palatino Linotype"/>
          <w:b/>
          <w:bCs/>
          <w:sz w:val="24"/>
          <w:szCs w:val="24"/>
          <w:lang w:val="en-US"/>
        </w:rPr>
        <w:t>0.848</w:t>
      </w:r>
      <w:r w:rsidRPr="001F7972">
        <w:rPr>
          <w:rFonts w:ascii="Palatino Linotype" w:eastAsia="Times New Roman" w:hAnsi="Palatino Linotype"/>
          <w:sz w:val="24"/>
          <w:szCs w:val="24"/>
          <w:lang w:val="en-US"/>
        </w:rPr>
        <w:t xml:space="preserve">. Although this value remains below the ideal benchmark of </w:t>
      </w:r>
      <w:r w:rsidRPr="001F7972">
        <w:rPr>
          <w:rFonts w:ascii="Palatino Linotype" w:eastAsia="Times New Roman" w:hAnsi="Palatino Linotype"/>
          <w:b/>
          <w:bCs/>
          <w:sz w:val="24"/>
          <w:szCs w:val="24"/>
          <w:lang w:val="en-US"/>
        </w:rPr>
        <w:t>0.90</w:t>
      </w:r>
      <w:r w:rsidRPr="001F7972">
        <w:rPr>
          <w:rFonts w:ascii="Palatino Linotype" w:eastAsia="Times New Roman" w:hAnsi="Palatino Linotype"/>
          <w:sz w:val="24"/>
          <w:szCs w:val="24"/>
          <w:lang w:val="en-US"/>
        </w:rPr>
        <w:t xml:space="preserve">, it indicates that the model achieves a </w:t>
      </w:r>
      <w:r w:rsidRPr="001F7972">
        <w:rPr>
          <w:rFonts w:ascii="Palatino Linotype" w:eastAsia="Times New Roman" w:hAnsi="Palatino Linotype"/>
          <w:b/>
          <w:bCs/>
          <w:sz w:val="24"/>
          <w:szCs w:val="24"/>
          <w:lang w:val="en-US"/>
        </w:rPr>
        <w:t>moderate or marginal fit</w:t>
      </w:r>
      <w:r w:rsidRPr="001F7972">
        <w:rPr>
          <w:rFonts w:ascii="Palatino Linotype" w:eastAsia="Times New Roman" w:hAnsi="Palatino Linotype"/>
          <w:sz w:val="24"/>
          <w:szCs w:val="24"/>
          <w:lang w:val="en-US"/>
        </w:rPr>
        <w:t>, which is generally considered acceptable for structural equation modeling. Overall, the excellent SRMR result provides strong empirical justification that the proposed structural model adequately represents the behavioral phenomena of recreational fishing customers in the field, despite the NFI value not yet reaching its optimal level.</w:t>
      </w:r>
    </w:p>
    <w:p w:rsidR="008B3B10" w:rsidRPr="001F7972" w:rsidRDefault="008B3B10" w:rsidP="001F7972">
      <w:pPr>
        <w:widowControl/>
        <w:spacing w:line="276" w:lineRule="auto"/>
        <w:ind w:firstLine="567"/>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Furthermore, the contribution of each predictor variable was evaluated through </w:t>
      </w:r>
      <w:r w:rsidRPr="001F7972">
        <w:rPr>
          <w:rFonts w:ascii="Palatino Linotype" w:eastAsia="Times New Roman" w:hAnsi="Palatino Linotype"/>
          <w:b/>
          <w:bCs/>
          <w:sz w:val="24"/>
          <w:szCs w:val="24"/>
          <w:lang w:val="en-US"/>
        </w:rPr>
        <w:t>effect size (f²)</w:t>
      </w:r>
      <w:r w:rsidRPr="001F7972">
        <w:rPr>
          <w:rFonts w:ascii="Palatino Linotype" w:eastAsia="Times New Roman" w:hAnsi="Palatino Linotype"/>
          <w:sz w:val="24"/>
          <w:szCs w:val="24"/>
          <w:lang w:val="en-US"/>
        </w:rPr>
        <w:t xml:space="preserve">, with effect sizes classified as </w:t>
      </w:r>
      <w:r w:rsidRPr="001F7972">
        <w:rPr>
          <w:rFonts w:ascii="Palatino Linotype" w:eastAsia="Times New Roman" w:hAnsi="Palatino Linotype"/>
          <w:b/>
          <w:bCs/>
          <w:sz w:val="24"/>
          <w:szCs w:val="24"/>
          <w:lang w:val="en-US"/>
        </w:rPr>
        <w:t>small (f² &gt; 0.02)</w:t>
      </w:r>
      <w:r w:rsidRPr="001F7972">
        <w:rPr>
          <w:rFonts w:ascii="Palatino Linotype" w:eastAsia="Times New Roman" w:hAnsi="Palatino Linotype"/>
          <w:sz w:val="24"/>
          <w:szCs w:val="24"/>
          <w:lang w:val="en-US"/>
        </w:rPr>
        <w:t xml:space="preserve">, </w:t>
      </w:r>
      <w:r w:rsidRPr="001F7972">
        <w:rPr>
          <w:rFonts w:ascii="Palatino Linotype" w:eastAsia="Times New Roman" w:hAnsi="Palatino Linotype"/>
          <w:b/>
          <w:bCs/>
          <w:sz w:val="24"/>
          <w:szCs w:val="24"/>
          <w:lang w:val="en-US"/>
        </w:rPr>
        <w:t>medium (f² &gt; 0.15)</w:t>
      </w:r>
      <w:r w:rsidRPr="001F7972">
        <w:rPr>
          <w:rFonts w:ascii="Palatino Linotype" w:eastAsia="Times New Roman" w:hAnsi="Palatino Linotype"/>
          <w:sz w:val="24"/>
          <w:szCs w:val="24"/>
          <w:lang w:val="en-US"/>
        </w:rPr>
        <w:t xml:space="preserve">, and </w:t>
      </w:r>
      <w:r w:rsidRPr="001F7972">
        <w:rPr>
          <w:rFonts w:ascii="Palatino Linotype" w:eastAsia="Times New Roman" w:hAnsi="Palatino Linotype"/>
          <w:b/>
          <w:bCs/>
          <w:sz w:val="24"/>
          <w:szCs w:val="24"/>
          <w:lang w:val="en-US"/>
        </w:rPr>
        <w:t>large (f² &gt; 0.35)</w:t>
      </w:r>
      <w:r w:rsidRPr="001F7972">
        <w:rPr>
          <w:rFonts w:ascii="Palatino Linotype" w:eastAsia="Times New Roman" w:hAnsi="Palatino Linotype"/>
          <w:sz w:val="24"/>
          <w:szCs w:val="24"/>
          <w:lang w:val="en-US"/>
        </w:rPr>
        <w:t xml:space="preserve"> (Hair et al., 2019). The findings indicate that </w:t>
      </w:r>
      <w:r w:rsidRPr="001F7972">
        <w:rPr>
          <w:rFonts w:ascii="Palatino Linotype" w:eastAsia="Times New Roman" w:hAnsi="Palatino Linotype"/>
          <w:b/>
          <w:bCs/>
          <w:sz w:val="24"/>
          <w:szCs w:val="24"/>
          <w:lang w:val="en-US"/>
        </w:rPr>
        <w:t>Perceived Service Fairness</w:t>
      </w:r>
      <w:r w:rsidRPr="001F7972">
        <w:rPr>
          <w:rFonts w:ascii="Palatino Linotype" w:eastAsia="Times New Roman" w:hAnsi="Palatino Linotype"/>
          <w:sz w:val="24"/>
          <w:szCs w:val="24"/>
          <w:lang w:val="en-US"/>
        </w:rPr>
        <w:t xml:space="preserve"> exerted a </w:t>
      </w:r>
      <w:r w:rsidRPr="001F7972">
        <w:rPr>
          <w:rFonts w:ascii="Palatino Linotype" w:eastAsia="Times New Roman" w:hAnsi="Palatino Linotype"/>
          <w:b/>
          <w:bCs/>
          <w:sz w:val="24"/>
          <w:szCs w:val="24"/>
          <w:lang w:val="en-US"/>
        </w:rPr>
        <w:t>moderate effect</w:t>
      </w:r>
      <w:r w:rsidRPr="001F7972">
        <w:rPr>
          <w:rFonts w:ascii="Palatino Linotype" w:eastAsia="Times New Roman" w:hAnsi="Palatino Linotype"/>
          <w:sz w:val="24"/>
          <w:szCs w:val="24"/>
          <w:lang w:val="en-US"/>
        </w:rPr>
        <w:t xml:space="preserve"> on </w:t>
      </w:r>
      <w:r w:rsidRPr="001F7972">
        <w:rPr>
          <w:rFonts w:ascii="Palatino Linotype" w:eastAsia="Times New Roman" w:hAnsi="Palatino Linotype"/>
          <w:b/>
          <w:bCs/>
          <w:sz w:val="24"/>
          <w:szCs w:val="24"/>
          <w:lang w:val="en-US"/>
        </w:rPr>
        <w:t>Customer Satisfaction</w:t>
      </w:r>
      <w:r w:rsidRPr="001F7972">
        <w:rPr>
          <w:rFonts w:ascii="Palatino Linotype" w:eastAsia="Times New Roman" w:hAnsi="Palatino Linotype"/>
          <w:sz w:val="24"/>
          <w:szCs w:val="24"/>
          <w:lang w:val="en-US"/>
        </w:rPr>
        <w:t xml:space="preserve">, with an </w:t>
      </w:r>
      <w:r w:rsidRPr="001F7972">
        <w:rPr>
          <w:rFonts w:ascii="Palatino Linotype" w:eastAsia="Times New Roman" w:hAnsi="Palatino Linotype"/>
          <w:b/>
          <w:bCs/>
          <w:sz w:val="24"/>
          <w:szCs w:val="24"/>
          <w:lang w:val="en-US"/>
        </w:rPr>
        <w:t>f² value of 0.270 (&gt;0.15)</w:t>
      </w:r>
      <w:r w:rsidRPr="001F7972">
        <w:rPr>
          <w:rFonts w:ascii="Palatino Linotype" w:eastAsia="Times New Roman" w:hAnsi="Palatino Linotype"/>
          <w:sz w:val="24"/>
          <w:szCs w:val="24"/>
          <w:lang w:val="en-US"/>
        </w:rPr>
        <w:t xml:space="preserve">. Meanwhile, </w:t>
      </w:r>
      <w:r w:rsidRPr="001F7972">
        <w:rPr>
          <w:rFonts w:ascii="Palatino Linotype" w:eastAsia="Times New Roman" w:hAnsi="Palatino Linotype"/>
          <w:b/>
          <w:bCs/>
          <w:sz w:val="24"/>
          <w:szCs w:val="24"/>
          <w:lang w:val="en-US"/>
        </w:rPr>
        <w:t>Customer Satisfaction</w:t>
      </w:r>
      <w:r w:rsidRPr="001F7972">
        <w:rPr>
          <w:rFonts w:ascii="Palatino Linotype" w:eastAsia="Times New Roman" w:hAnsi="Palatino Linotype"/>
          <w:sz w:val="24"/>
          <w:szCs w:val="24"/>
          <w:lang w:val="en-US"/>
        </w:rPr>
        <w:t xml:space="preserve"> demonstrated a </w:t>
      </w:r>
      <w:r w:rsidRPr="001F7972">
        <w:rPr>
          <w:rFonts w:ascii="Palatino Linotype" w:eastAsia="Times New Roman" w:hAnsi="Palatino Linotype"/>
          <w:b/>
          <w:bCs/>
          <w:sz w:val="24"/>
          <w:szCs w:val="24"/>
          <w:lang w:val="en-US"/>
        </w:rPr>
        <w:t>large effect</w:t>
      </w:r>
      <w:r w:rsidRPr="001F7972">
        <w:rPr>
          <w:rFonts w:ascii="Palatino Linotype" w:eastAsia="Times New Roman" w:hAnsi="Palatino Linotype"/>
          <w:sz w:val="24"/>
          <w:szCs w:val="24"/>
          <w:lang w:val="en-US"/>
        </w:rPr>
        <w:t xml:space="preserve"> on </w:t>
      </w:r>
      <w:r w:rsidRPr="001F7972">
        <w:rPr>
          <w:rFonts w:ascii="Palatino Linotype" w:eastAsia="Times New Roman" w:hAnsi="Palatino Linotype"/>
          <w:b/>
          <w:bCs/>
          <w:sz w:val="24"/>
          <w:szCs w:val="24"/>
          <w:lang w:val="en-US"/>
        </w:rPr>
        <w:t>Revisit Intention</w:t>
      </w:r>
      <w:r w:rsidRPr="001F7972">
        <w:rPr>
          <w:rFonts w:ascii="Palatino Linotype" w:eastAsia="Times New Roman" w:hAnsi="Palatino Linotype"/>
          <w:sz w:val="24"/>
          <w:szCs w:val="24"/>
          <w:lang w:val="en-US"/>
        </w:rPr>
        <w:t xml:space="preserve">, with an </w:t>
      </w:r>
      <w:r w:rsidRPr="001F7972">
        <w:rPr>
          <w:rFonts w:ascii="Palatino Linotype" w:eastAsia="Times New Roman" w:hAnsi="Palatino Linotype"/>
          <w:b/>
          <w:bCs/>
          <w:sz w:val="24"/>
          <w:szCs w:val="24"/>
          <w:lang w:val="en-US"/>
        </w:rPr>
        <w:t>f² value of 0.623 (&gt;0.35)</w:t>
      </w:r>
      <w:r w:rsidRPr="001F7972">
        <w:rPr>
          <w:rFonts w:ascii="Palatino Linotype" w:eastAsia="Times New Roman" w:hAnsi="Palatino Linotype"/>
          <w:sz w:val="24"/>
          <w:szCs w:val="24"/>
          <w:lang w:val="en-US"/>
        </w:rPr>
        <w:t xml:space="preserve">, whereas </w:t>
      </w:r>
      <w:r w:rsidRPr="001F7972">
        <w:rPr>
          <w:rFonts w:ascii="Palatino Linotype" w:eastAsia="Times New Roman" w:hAnsi="Palatino Linotype"/>
          <w:b/>
          <w:bCs/>
          <w:sz w:val="24"/>
          <w:szCs w:val="24"/>
          <w:lang w:val="en-US"/>
        </w:rPr>
        <w:t>Perceived Service Fairness</w:t>
      </w:r>
      <w:r w:rsidRPr="001F7972">
        <w:rPr>
          <w:rFonts w:ascii="Palatino Linotype" w:eastAsia="Times New Roman" w:hAnsi="Palatino Linotype"/>
          <w:sz w:val="24"/>
          <w:szCs w:val="24"/>
          <w:lang w:val="en-US"/>
        </w:rPr>
        <w:t xml:space="preserve"> also exerted a </w:t>
      </w:r>
      <w:r w:rsidRPr="001F7972">
        <w:rPr>
          <w:rFonts w:ascii="Palatino Linotype" w:eastAsia="Times New Roman" w:hAnsi="Palatino Linotype"/>
          <w:b/>
          <w:bCs/>
          <w:sz w:val="24"/>
          <w:szCs w:val="24"/>
          <w:lang w:val="en-US"/>
        </w:rPr>
        <w:t>moderate effect</w:t>
      </w:r>
      <w:r w:rsidRPr="001F7972">
        <w:rPr>
          <w:rFonts w:ascii="Palatino Linotype" w:eastAsia="Times New Roman" w:hAnsi="Palatino Linotype"/>
          <w:sz w:val="24"/>
          <w:szCs w:val="24"/>
          <w:lang w:val="en-US"/>
        </w:rPr>
        <w:t xml:space="preserve"> on </w:t>
      </w:r>
      <w:r w:rsidRPr="001F7972">
        <w:rPr>
          <w:rFonts w:ascii="Palatino Linotype" w:eastAsia="Times New Roman" w:hAnsi="Palatino Linotype"/>
          <w:b/>
          <w:bCs/>
          <w:sz w:val="24"/>
          <w:szCs w:val="24"/>
          <w:lang w:val="en-US"/>
        </w:rPr>
        <w:t>Revisit Intention</w:t>
      </w:r>
      <w:r w:rsidRPr="001F7972">
        <w:rPr>
          <w:rFonts w:ascii="Palatino Linotype" w:eastAsia="Times New Roman" w:hAnsi="Palatino Linotype"/>
          <w:sz w:val="24"/>
          <w:szCs w:val="24"/>
          <w:lang w:val="en-US"/>
        </w:rPr>
        <w:t xml:space="preserve">, with an </w:t>
      </w:r>
      <w:r w:rsidRPr="001F7972">
        <w:rPr>
          <w:rFonts w:ascii="Palatino Linotype" w:eastAsia="Times New Roman" w:hAnsi="Palatino Linotype"/>
          <w:b/>
          <w:bCs/>
          <w:sz w:val="24"/>
          <w:szCs w:val="24"/>
          <w:lang w:val="en-US"/>
        </w:rPr>
        <w:t>f² value of 0.202 (&gt;0.15)</w:t>
      </w:r>
      <w:r w:rsidRPr="001F7972">
        <w:rPr>
          <w:rFonts w:ascii="Palatino Linotype" w:eastAsia="Times New Roman" w:hAnsi="Palatino Linotype"/>
          <w:sz w:val="24"/>
          <w:szCs w:val="24"/>
          <w:lang w:val="en-US"/>
        </w:rPr>
        <w:t xml:space="preserve">. These empirical findings confirm that </w:t>
      </w:r>
      <w:r w:rsidRPr="001F7972">
        <w:rPr>
          <w:rFonts w:ascii="Palatino Linotype" w:eastAsia="Times New Roman" w:hAnsi="Palatino Linotype"/>
          <w:b/>
          <w:bCs/>
          <w:sz w:val="24"/>
          <w:szCs w:val="24"/>
          <w:lang w:val="en-US"/>
        </w:rPr>
        <w:t>Customer Satisfaction</w:t>
      </w:r>
      <w:r w:rsidRPr="001F7972">
        <w:rPr>
          <w:rFonts w:ascii="Palatino Linotype" w:eastAsia="Times New Roman" w:hAnsi="Palatino Linotype"/>
          <w:sz w:val="24"/>
          <w:szCs w:val="24"/>
          <w:lang w:val="en-US"/>
        </w:rPr>
        <w:t xml:space="preserve"> plays the most critical role in determining the </w:t>
      </w:r>
      <w:r w:rsidRPr="001F7972">
        <w:rPr>
          <w:rFonts w:ascii="Palatino Linotype" w:eastAsia="Times New Roman" w:hAnsi="Palatino Linotype"/>
          <w:b/>
          <w:bCs/>
          <w:sz w:val="24"/>
          <w:szCs w:val="24"/>
          <w:lang w:val="en-US"/>
        </w:rPr>
        <w:t>Revisit Intention</w:t>
      </w:r>
      <w:r w:rsidRPr="001F7972">
        <w:rPr>
          <w:rFonts w:ascii="Palatino Linotype" w:eastAsia="Times New Roman" w:hAnsi="Palatino Linotype"/>
          <w:sz w:val="24"/>
          <w:szCs w:val="24"/>
          <w:lang w:val="en-US"/>
        </w:rPr>
        <w:t xml:space="preserve"> of Galatama Lele Oiko Fishing participants, as evidenced by its highest effect size among all structural relationships examined.</w:t>
      </w:r>
    </w:p>
    <w:p w:rsidR="008B3B10" w:rsidRPr="001F7972" w:rsidRDefault="008B3B10" w:rsidP="001F7972">
      <w:pPr>
        <w:widowControl/>
        <w:spacing w:line="276" w:lineRule="auto"/>
        <w:ind w:firstLine="567"/>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Subsequently, Riyanto and Setyorini (2024) explained that the influence of variables is considered statistically significant when hypothesis testing at the </w:t>
      </w:r>
      <w:r w:rsidRPr="001F7972">
        <w:rPr>
          <w:rFonts w:ascii="Palatino Linotype" w:eastAsia="Times New Roman" w:hAnsi="Palatino Linotype"/>
          <w:b/>
          <w:bCs/>
          <w:sz w:val="24"/>
          <w:szCs w:val="24"/>
          <w:lang w:val="en-US"/>
        </w:rPr>
        <w:t>5% significance level</w:t>
      </w:r>
      <w:r w:rsidRPr="001F7972">
        <w:rPr>
          <w:rFonts w:ascii="Palatino Linotype" w:eastAsia="Times New Roman" w:hAnsi="Palatino Linotype"/>
          <w:sz w:val="24"/>
          <w:szCs w:val="24"/>
          <w:lang w:val="en-US"/>
        </w:rPr>
        <w:t xml:space="preserve"> in the </w:t>
      </w:r>
      <w:r w:rsidRPr="001F7972">
        <w:rPr>
          <w:rFonts w:ascii="Palatino Linotype" w:eastAsia="Times New Roman" w:hAnsi="Palatino Linotype"/>
          <w:b/>
          <w:bCs/>
          <w:sz w:val="24"/>
          <w:szCs w:val="24"/>
          <w:lang w:val="en-US"/>
        </w:rPr>
        <w:t>direct effect</w:t>
      </w:r>
      <w:r w:rsidRPr="001F7972">
        <w:rPr>
          <w:rFonts w:ascii="Palatino Linotype" w:eastAsia="Times New Roman" w:hAnsi="Palatino Linotype"/>
          <w:sz w:val="24"/>
          <w:szCs w:val="24"/>
          <w:lang w:val="en-US"/>
        </w:rPr>
        <w:t xml:space="preserve"> analysis of the </w:t>
      </w:r>
      <w:r w:rsidRPr="001F7972">
        <w:rPr>
          <w:rFonts w:ascii="Palatino Linotype" w:eastAsia="Times New Roman" w:hAnsi="Palatino Linotype"/>
          <w:b/>
          <w:bCs/>
          <w:sz w:val="24"/>
          <w:szCs w:val="24"/>
          <w:lang w:val="en-US"/>
        </w:rPr>
        <w:t>inner weight output</w:t>
      </w:r>
      <w:r w:rsidRPr="001F7972">
        <w:rPr>
          <w:rFonts w:ascii="Palatino Linotype" w:eastAsia="Times New Roman" w:hAnsi="Palatino Linotype"/>
          <w:sz w:val="24"/>
          <w:szCs w:val="24"/>
          <w:lang w:val="en-US"/>
        </w:rPr>
        <w:t xml:space="preserve"> produces a </w:t>
      </w:r>
      <w:r w:rsidRPr="001F7972">
        <w:rPr>
          <w:rFonts w:ascii="Palatino Linotype" w:eastAsia="Times New Roman" w:hAnsi="Palatino Linotype"/>
          <w:b/>
          <w:bCs/>
          <w:sz w:val="24"/>
          <w:szCs w:val="24"/>
          <w:lang w:val="en-US"/>
        </w:rPr>
        <w:t>t-statistic greater than 1.96</w:t>
      </w:r>
      <w:r w:rsidRPr="001F7972">
        <w:rPr>
          <w:rFonts w:ascii="Palatino Linotype" w:eastAsia="Times New Roman" w:hAnsi="Palatino Linotype"/>
          <w:sz w:val="24"/>
          <w:szCs w:val="24"/>
          <w:lang w:val="en-US"/>
        </w:rPr>
        <w:t xml:space="preserve"> and a </w:t>
      </w:r>
      <w:r w:rsidRPr="001F7972">
        <w:rPr>
          <w:rFonts w:ascii="Palatino Linotype" w:eastAsia="Times New Roman" w:hAnsi="Palatino Linotype"/>
          <w:b/>
          <w:bCs/>
          <w:sz w:val="24"/>
          <w:szCs w:val="24"/>
          <w:lang w:val="en-US"/>
        </w:rPr>
        <w:t>p-value less than 0.05</w:t>
      </w:r>
      <w:r w:rsidRPr="001F7972">
        <w:rPr>
          <w:rFonts w:ascii="Palatino Linotype" w:eastAsia="Times New Roman" w:hAnsi="Palatino Linotype"/>
          <w:sz w:val="24"/>
          <w:szCs w:val="24"/>
          <w:lang w:val="en-US"/>
        </w:rPr>
        <w:t xml:space="preserve">. Furthermore, an </w:t>
      </w:r>
      <w:r w:rsidRPr="001F7972">
        <w:rPr>
          <w:rFonts w:ascii="Palatino Linotype" w:eastAsia="Times New Roman" w:hAnsi="Palatino Linotype"/>
          <w:b/>
          <w:bCs/>
          <w:sz w:val="24"/>
          <w:szCs w:val="24"/>
          <w:lang w:val="en-US"/>
        </w:rPr>
        <w:t>Original Sample (O)</w:t>
      </w:r>
      <w:r w:rsidRPr="001F7972">
        <w:rPr>
          <w:rFonts w:ascii="Palatino Linotype" w:eastAsia="Times New Roman" w:hAnsi="Palatino Linotype"/>
          <w:sz w:val="24"/>
          <w:szCs w:val="24"/>
          <w:lang w:val="en-US"/>
        </w:rPr>
        <w:t xml:space="preserve"> coefficient greater than </w:t>
      </w:r>
      <w:r w:rsidRPr="001F7972">
        <w:rPr>
          <w:rFonts w:ascii="Palatino Linotype" w:eastAsia="Times New Roman" w:hAnsi="Palatino Linotype"/>
          <w:b/>
          <w:bCs/>
          <w:sz w:val="24"/>
          <w:szCs w:val="24"/>
          <w:lang w:val="en-US"/>
        </w:rPr>
        <w:t>zero</w:t>
      </w:r>
      <w:r w:rsidRPr="001F7972">
        <w:rPr>
          <w:rFonts w:ascii="Palatino Linotype" w:eastAsia="Times New Roman" w:hAnsi="Palatino Linotype"/>
          <w:sz w:val="24"/>
          <w:szCs w:val="24"/>
          <w:lang w:val="en-US"/>
        </w:rPr>
        <w:t xml:space="preserve"> indicates that the relationship between variables is positive.</w:t>
      </w:r>
    </w:p>
    <w:p w:rsidR="008B3B10" w:rsidRPr="001F7972" w:rsidRDefault="008B3B10" w:rsidP="001F7972">
      <w:pPr>
        <w:widowControl/>
        <w:spacing w:line="276" w:lineRule="auto"/>
        <w:jc w:val="center"/>
        <w:rPr>
          <w:rFonts w:ascii="Palatino Linotype" w:eastAsia="Times New Roman" w:hAnsi="Palatino Linotype"/>
          <w:sz w:val="24"/>
          <w:szCs w:val="24"/>
          <w:lang w:val="en-US"/>
        </w:rPr>
      </w:pPr>
      <w:r w:rsidRPr="001F7972">
        <w:rPr>
          <w:rFonts w:ascii="Palatino Linotype" w:eastAsia="Times New Roman" w:hAnsi="Palatino Linotype"/>
          <w:b/>
          <w:bCs/>
          <w:sz w:val="24"/>
          <w:szCs w:val="24"/>
          <w:lang w:val="en-US"/>
        </w:rPr>
        <w:t>Table 6. Direct and Indirect Effect Testing Results</w:t>
      </w:r>
    </w:p>
    <w:tbl>
      <w:tblPr>
        <w:tblStyle w:val="TableGrid1"/>
        <w:tblW w:w="0" w:type="auto"/>
        <w:tblLook w:val="04A0" w:firstRow="1" w:lastRow="0" w:firstColumn="1" w:lastColumn="0" w:noHBand="0" w:noVBand="1"/>
      </w:tblPr>
      <w:tblGrid>
        <w:gridCol w:w="1776"/>
        <w:gridCol w:w="1680"/>
        <w:gridCol w:w="1454"/>
        <w:gridCol w:w="1943"/>
        <w:gridCol w:w="1334"/>
        <w:gridCol w:w="1100"/>
      </w:tblGrid>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Relationship</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Original Sample</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Sample Mean</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Standard Deviation</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T Statistics</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b/>
                <w:bCs/>
                <w:sz w:val="24"/>
                <w:szCs w:val="24"/>
                <w:lang w:val="en-US"/>
              </w:rPr>
            </w:pPr>
            <w:r w:rsidRPr="001F7972">
              <w:rPr>
                <w:rFonts w:ascii="Palatino Linotype" w:eastAsia="Times New Roman" w:hAnsi="Palatino Linotype"/>
                <w:b/>
                <w:bCs/>
                <w:sz w:val="24"/>
                <w:szCs w:val="24"/>
                <w:lang w:val="en-US"/>
              </w:rPr>
              <w:t>P Values</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PSF </w:t>
            </w:r>
            <w:r w:rsidRPr="001F7972">
              <w:rPr>
                <w:rFonts w:ascii="Times New Roman" w:eastAsia="Times New Roman" w:hAnsi="Times New Roman" w:cs="Times New Roman"/>
                <w:sz w:val="24"/>
                <w:szCs w:val="24"/>
                <w:lang w:val="en-US"/>
              </w:rPr>
              <w:t>→</w:t>
            </w:r>
            <w:r w:rsidRPr="001F7972">
              <w:rPr>
                <w:rFonts w:ascii="Palatino Linotype" w:eastAsia="Times New Roman" w:hAnsi="Palatino Linotype"/>
                <w:sz w:val="24"/>
                <w:szCs w:val="24"/>
                <w:lang w:val="en-US"/>
              </w:rPr>
              <w:t xml:space="preserve"> CS</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0.461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0.464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0.064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7.234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0.000</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lastRenderedPageBreak/>
              <w:t xml:space="preserve">PSF </w:t>
            </w:r>
            <w:r w:rsidRPr="001F7972">
              <w:rPr>
                <w:rFonts w:ascii="Times New Roman" w:eastAsia="Times New Roman" w:hAnsi="Times New Roman" w:cs="Times New Roman"/>
                <w:sz w:val="24"/>
                <w:szCs w:val="24"/>
                <w:lang w:val="en-US"/>
              </w:rPr>
              <w:t>→</w:t>
            </w:r>
            <w:r w:rsidRPr="001F7972">
              <w:rPr>
                <w:rFonts w:ascii="Palatino Linotype" w:eastAsia="Times New Roman" w:hAnsi="Palatino Linotype"/>
                <w:sz w:val="24"/>
                <w:szCs w:val="24"/>
                <w:lang w:val="en-US"/>
              </w:rPr>
              <w:t xml:space="preserve"> RI</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0.322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0.322</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0.057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5.618</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0.000</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CS </w:t>
            </w:r>
            <w:r w:rsidRPr="001F7972">
              <w:rPr>
                <w:rFonts w:ascii="Times New Roman" w:eastAsia="Times New Roman" w:hAnsi="Times New Roman" w:cs="Times New Roman"/>
                <w:sz w:val="24"/>
                <w:szCs w:val="24"/>
                <w:lang w:val="en-US"/>
              </w:rPr>
              <w:t>→</w:t>
            </w:r>
            <w:r w:rsidRPr="001F7972">
              <w:rPr>
                <w:rFonts w:ascii="Palatino Linotype" w:eastAsia="Times New Roman" w:hAnsi="Palatino Linotype"/>
                <w:sz w:val="24"/>
                <w:szCs w:val="24"/>
                <w:lang w:val="en-US"/>
              </w:rPr>
              <w:t xml:space="preserve"> RI</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0.567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0.569</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0.047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12.085</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0.000</w:t>
            </w:r>
          </w:p>
        </w:tc>
      </w:tr>
      <w:tr w:rsidR="008B3B10" w:rsidRPr="001F7972" w:rsidTr="008B3B10">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PSF </w:t>
            </w:r>
            <w:r w:rsidRPr="001F7972">
              <w:rPr>
                <w:rFonts w:ascii="Times New Roman" w:eastAsia="Times New Roman" w:hAnsi="Times New Roman" w:cs="Times New Roman"/>
                <w:sz w:val="24"/>
                <w:szCs w:val="24"/>
                <w:lang w:val="en-US"/>
              </w:rPr>
              <w:t>→</w:t>
            </w:r>
            <w:r w:rsidRPr="001F7972">
              <w:rPr>
                <w:rFonts w:ascii="Palatino Linotype" w:eastAsia="Times New Roman" w:hAnsi="Palatino Linotype"/>
                <w:sz w:val="24"/>
                <w:szCs w:val="24"/>
                <w:lang w:val="en-US"/>
              </w:rPr>
              <w:t xml:space="preserve"> CS </w:t>
            </w:r>
            <w:r w:rsidRPr="001F7972">
              <w:rPr>
                <w:rFonts w:ascii="Times New Roman" w:eastAsia="Times New Roman" w:hAnsi="Times New Roman" w:cs="Times New Roman"/>
                <w:sz w:val="24"/>
                <w:szCs w:val="24"/>
                <w:lang w:val="en-US"/>
              </w:rPr>
              <w:t>→</w:t>
            </w:r>
            <w:r w:rsidRPr="001F7972">
              <w:rPr>
                <w:rFonts w:ascii="Palatino Linotype" w:eastAsia="Times New Roman" w:hAnsi="Palatino Linotype"/>
                <w:sz w:val="24"/>
                <w:szCs w:val="24"/>
                <w:lang w:val="en-US"/>
              </w:rPr>
              <w:t xml:space="preserve"> RI</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0.261</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0.264</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0.043</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6.017</w:t>
            </w:r>
          </w:p>
        </w:tc>
        <w:tc>
          <w:tcPr>
            <w:tcW w:w="0" w:type="auto"/>
            <w:hideMark/>
          </w:tcPr>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0.000</w:t>
            </w:r>
          </w:p>
        </w:tc>
      </w:tr>
    </w:tbl>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i/>
          <w:iCs/>
          <w:sz w:val="24"/>
          <w:szCs w:val="24"/>
          <w:lang w:val="en-US"/>
        </w:rPr>
        <w:t>Source: Processed by the Researchers, 2026</w:t>
      </w:r>
    </w:p>
    <w:p w:rsidR="008B3B10" w:rsidRPr="001F7972" w:rsidRDefault="008B3B10" w:rsidP="001F7972">
      <w:pPr>
        <w:widowControl/>
        <w:spacing w:line="276" w:lineRule="auto"/>
        <w:jc w:val="both"/>
        <w:rPr>
          <w:rFonts w:ascii="Palatino Linotype" w:eastAsia="Times New Roman" w:hAnsi="Palatino Linotype"/>
          <w:sz w:val="24"/>
          <w:szCs w:val="24"/>
          <w:lang w:val="en-US"/>
        </w:rPr>
      </w:pPr>
      <w:r w:rsidRPr="001F7972">
        <w:rPr>
          <w:rFonts w:ascii="Palatino Linotype" w:eastAsia="Times New Roman" w:hAnsi="Palatino Linotype"/>
          <w:sz w:val="24"/>
          <w:szCs w:val="24"/>
          <w:lang w:val="en-US"/>
        </w:rPr>
        <w:t xml:space="preserve">Based on the results of the </w:t>
      </w:r>
      <w:r w:rsidRPr="001F7972">
        <w:rPr>
          <w:rFonts w:ascii="Palatino Linotype" w:eastAsia="Times New Roman" w:hAnsi="Palatino Linotype"/>
          <w:b/>
          <w:bCs/>
          <w:sz w:val="24"/>
          <w:szCs w:val="24"/>
          <w:lang w:val="en-US"/>
        </w:rPr>
        <w:t>direct effect</w:t>
      </w:r>
      <w:r w:rsidRPr="001F7972">
        <w:rPr>
          <w:rFonts w:ascii="Palatino Linotype" w:eastAsia="Times New Roman" w:hAnsi="Palatino Linotype"/>
          <w:sz w:val="24"/>
          <w:szCs w:val="24"/>
          <w:lang w:val="en-US"/>
        </w:rPr>
        <w:t xml:space="preserve"> and </w:t>
      </w:r>
      <w:r w:rsidRPr="001F7972">
        <w:rPr>
          <w:rFonts w:ascii="Palatino Linotype" w:eastAsia="Times New Roman" w:hAnsi="Palatino Linotype"/>
          <w:b/>
          <w:bCs/>
          <w:sz w:val="24"/>
          <w:szCs w:val="24"/>
          <w:lang w:val="en-US"/>
        </w:rPr>
        <w:t>indirect effect</w:t>
      </w:r>
      <w:r w:rsidRPr="001F7972">
        <w:rPr>
          <w:rFonts w:ascii="Palatino Linotype" w:eastAsia="Times New Roman" w:hAnsi="Palatino Linotype"/>
          <w:sz w:val="24"/>
          <w:szCs w:val="24"/>
          <w:lang w:val="en-US"/>
        </w:rPr>
        <w:t xml:space="preserve"> analyses presented in </w:t>
      </w:r>
      <w:r w:rsidRPr="001F7972">
        <w:rPr>
          <w:rFonts w:ascii="Palatino Linotype" w:eastAsia="Times New Roman" w:hAnsi="Palatino Linotype"/>
          <w:b/>
          <w:bCs/>
          <w:sz w:val="24"/>
          <w:szCs w:val="24"/>
          <w:lang w:val="en-US"/>
        </w:rPr>
        <w:t>Table 6</w:t>
      </w:r>
      <w:r w:rsidRPr="001F7972">
        <w:rPr>
          <w:rFonts w:ascii="Palatino Linotype" w:eastAsia="Times New Roman" w:hAnsi="Palatino Linotype"/>
          <w:sz w:val="24"/>
          <w:szCs w:val="24"/>
          <w:lang w:val="en-US"/>
        </w:rPr>
        <w:t xml:space="preserve">, it can be concluded that all </w:t>
      </w:r>
      <w:r w:rsidRPr="001F7972">
        <w:rPr>
          <w:rFonts w:ascii="Palatino Linotype" w:eastAsia="Times New Roman" w:hAnsi="Palatino Linotype"/>
          <w:b/>
          <w:bCs/>
          <w:sz w:val="24"/>
          <w:szCs w:val="24"/>
          <w:lang w:val="en-US"/>
        </w:rPr>
        <w:t>four research hypotheses</w:t>
      </w:r>
      <w:r w:rsidRPr="001F7972">
        <w:rPr>
          <w:rFonts w:ascii="Palatino Linotype" w:eastAsia="Times New Roman" w:hAnsi="Palatino Linotype"/>
          <w:sz w:val="24"/>
          <w:szCs w:val="24"/>
          <w:lang w:val="en-US"/>
        </w:rPr>
        <w:t xml:space="preserve"> were </w:t>
      </w:r>
      <w:r w:rsidRPr="001F7972">
        <w:rPr>
          <w:rFonts w:ascii="Palatino Linotype" w:eastAsia="Times New Roman" w:hAnsi="Palatino Linotype"/>
          <w:b/>
          <w:bCs/>
          <w:sz w:val="24"/>
          <w:szCs w:val="24"/>
          <w:lang w:val="en-US"/>
        </w:rPr>
        <w:t>empirically supported and accepted</w:t>
      </w:r>
      <w:r w:rsidRPr="001F7972">
        <w:rPr>
          <w:rFonts w:ascii="Palatino Linotype" w:eastAsia="Times New Roman" w:hAnsi="Palatino Linotype"/>
          <w:sz w:val="24"/>
          <w:szCs w:val="24"/>
          <w:lang w:val="en-US"/>
        </w:rPr>
        <w:t xml:space="preserve">. The confirmation of these hypotheses was established through compliance with the standardized statistical criteria, whereby all </w:t>
      </w:r>
      <w:r w:rsidRPr="001F7972">
        <w:rPr>
          <w:rFonts w:ascii="Palatino Linotype" w:eastAsia="Times New Roman" w:hAnsi="Palatino Linotype"/>
          <w:b/>
          <w:bCs/>
          <w:sz w:val="24"/>
          <w:szCs w:val="24"/>
          <w:lang w:val="en-US"/>
        </w:rPr>
        <w:t>path coefficients (Original Sample, O)</w:t>
      </w:r>
      <w:r w:rsidRPr="001F7972">
        <w:rPr>
          <w:rFonts w:ascii="Palatino Linotype" w:eastAsia="Times New Roman" w:hAnsi="Palatino Linotype"/>
          <w:sz w:val="24"/>
          <w:szCs w:val="24"/>
          <w:lang w:val="en-US"/>
        </w:rPr>
        <w:t xml:space="preserve"> were </w:t>
      </w:r>
      <w:r w:rsidRPr="001F7972">
        <w:rPr>
          <w:rFonts w:ascii="Palatino Linotype" w:eastAsia="Times New Roman" w:hAnsi="Palatino Linotype"/>
          <w:b/>
          <w:bCs/>
          <w:sz w:val="24"/>
          <w:szCs w:val="24"/>
          <w:lang w:val="en-US"/>
        </w:rPr>
        <w:t>positive</w:t>
      </w:r>
      <w:r w:rsidRPr="001F7972">
        <w:rPr>
          <w:rFonts w:ascii="Palatino Linotype" w:eastAsia="Times New Roman" w:hAnsi="Palatino Linotype"/>
          <w:sz w:val="24"/>
          <w:szCs w:val="24"/>
          <w:lang w:val="en-US"/>
        </w:rPr>
        <w:t xml:space="preserve">, indicating positive relationships among the constructs. Moreover, the statistical significance of these relationships was confirmed by </w:t>
      </w:r>
      <w:r w:rsidRPr="001F7972">
        <w:rPr>
          <w:rFonts w:ascii="Palatino Linotype" w:eastAsia="Times New Roman" w:hAnsi="Palatino Linotype"/>
          <w:b/>
          <w:bCs/>
          <w:sz w:val="24"/>
          <w:szCs w:val="24"/>
          <w:lang w:val="en-US"/>
        </w:rPr>
        <w:t>p-values below the maximum threshold of 0.05</w:t>
      </w:r>
      <w:r w:rsidRPr="001F7972">
        <w:rPr>
          <w:rFonts w:ascii="Palatino Linotype" w:eastAsia="Times New Roman" w:hAnsi="Palatino Linotype"/>
          <w:sz w:val="24"/>
          <w:szCs w:val="24"/>
          <w:lang w:val="en-US"/>
        </w:rPr>
        <w:t xml:space="preserve">, while all </w:t>
      </w:r>
      <w:r w:rsidRPr="001F7972">
        <w:rPr>
          <w:rFonts w:ascii="Palatino Linotype" w:eastAsia="Times New Roman" w:hAnsi="Palatino Linotype"/>
          <w:b/>
          <w:bCs/>
          <w:sz w:val="24"/>
          <w:szCs w:val="24"/>
          <w:lang w:val="en-US"/>
        </w:rPr>
        <w:t>t-statistics consistently exceeded the critical value of 1.96</w:t>
      </w:r>
      <w:r w:rsidRPr="001F7972">
        <w:rPr>
          <w:rFonts w:ascii="Palatino Linotype" w:eastAsia="Times New Roman" w:hAnsi="Palatino Linotype"/>
          <w:sz w:val="24"/>
          <w:szCs w:val="24"/>
          <w:lang w:val="en-US"/>
        </w:rPr>
        <w:t>. These findings provide robust empirical evidence that all exogenous variables exert significant and positive direct influences on their respective endogenous constructs within the proposed structural model.</w:t>
      </w:r>
    </w:p>
    <w:p w:rsidR="00C57F80" w:rsidRPr="001F7972" w:rsidRDefault="00C120EA" w:rsidP="001F7972">
      <w:pPr>
        <w:spacing w:line="276" w:lineRule="auto"/>
        <w:rPr>
          <w:rFonts w:ascii="Palatino Linotype" w:eastAsia="Palatino Linotype" w:hAnsi="Palatino Linotype" w:cs="Palatino Linotype"/>
          <w:b/>
          <w:sz w:val="24"/>
          <w:szCs w:val="24"/>
        </w:rPr>
      </w:pPr>
      <w:r w:rsidRPr="001F7972">
        <w:rPr>
          <w:rFonts w:ascii="Palatino Linotype" w:eastAsia="Palatino Linotype" w:hAnsi="Palatino Linotype" w:cs="Palatino Linotype"/>
          <w:b/>
          <w:color w:val="000000"/>
          <w:sz w:val="24"/>
          <w:szCs w:val="24"/>
        </w:rPr>
        <w:t>CONCLUSION</w:t>
      </w:r>
    </w:p>
    <w:p w:rsidR="001F7972" w:rsidRPr="001F7972" w:rsidRDefault="001F7972"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Based on a whole series of hypothesis testing, statistical data analysis, and comprehensive theoretical interpretation, this research succeeded in formulating answers to the problem points raised while providing a scientific contribution that emphasizes the novelty of research in the recreational fisheries operational sector. Perceived Service Fairness is proven to make a positive and significant contribution to Customer Satisfaction among Galatama Lele Oiko Fishing participants. These empirical findings indicate that standardization of competition prizes that are managed consistently and proportionally to the ticket investment value can effectively increase participants' psychological satisfaction. Apart from that, Perceived Service Fairness was confirmed to have a direct positive and significant influence on Revisit Intention among Galatama Lele Oko Fishing participants. This phenomenon proves that equality between the reward structure and participation costs can be a stimulus that drives participants' commitment to return, even without having to depend on stimulation from mediating variables.</w:t>
      </w:r>
    </w:p>
    <w:p w:rsidR="001F7972" w:rsidRPr="001F7972" w:rsidRDefault="001F7972"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 xml:space="preserve">Customer Satisfaction shows the most dominant positive and significant influence in the entire model on the Revisit Intention of Galatama Lele Oiko Fishing participants. The results of this analysis confirm that fulfilling emotional and technical expectations during the competition is an absolute prerequisite as well as the main driver in building Revisit Intention with an influence that goes beyond the </w:t>
      </w:r>
      <w:r w:rsidRPr="001F7972">
        <w:rPr>
          <w:rFonts w:ascii="Palatino Linotype" w:eastAsia="Palatino Linotype" w:hAnsi="Palatino Linotype" w:cs="Palatino Linotype"/>
          <w:color w:val="000000"/>
          <w:sz w:val="24"/>
          <w:szCs w:val="24"/>
        </w:rPr>
        <w:lastRenderedPageBreak/>
        <w:t>direct impact of Perceived Service Fairness on Galatama Lele Oiko Fishing participants. Then, Perceived Service Fairness was proven to have a positive and significant effect on Revisit Intention through Customer Satisfaction which acted as a mediating variable. This mechanism suggests that fairness in the allocation of prizes and ticket costs will transform repeat visit behavior much more optimally if it is preceded by the formation of deep emotional satisfaction in participants.</w:t>
      </w:r>
    </w:p>
    <w:p w:rsidR="00C57F80" w:rsidRPr="001F7972" w:rsidRDefault="001F7972" w:rsidP="001F7972">
      <w:pPr>
        <w:widowControl/>
        <w:spacing w:line="276" w:lineRule="auto"/>
        <w:ind w:firstLine="567"/>
        <w:jc w:val="both"/>
        <w:rPr>
          <w:rFonts w:ascii="Palatino Linotype" w:eastAsia="Palatino Linotype" w:hAnsi="Palatino Linotype" w:cs="Palatino Linotype"/>
          <w:color w:val="000000"/>
          <w:sz w:val="24"/>
          <w:szCs w:val="24"/>
        </w:rPr>
      </w:pPr>
      <w:r w:rsidRPr="001F7972">
        <w:rPr>
          <w:rFonts w:ascii="Palatino Linotype" w:eastAsia="Palatino Linotype" w:hAnsi="Palatino Linotype" w:cs="Palatino Linotype"/>
          <w:color w:val="000000"/>
          <w:sz w:val="24"/>
          <w:szCs w:val="24"/>
        </w:rPr>
        <w:t>Thus, the integration of these two findings provides a complete theoretical understanding that fishing customer satisfaction is the accumulated result of fulfilling a sense of justice and emotional satisfaction. For the management of Galatama Lele Oiko Fishing, the strategic implications of this integration emphasize that management's ability to maintain the credibility of fish weighing, the firmness of the rules, and a consistently competitive and prestigious competition atmosphere are the main keys to locking in the deepest satisfaction of customers. Through a balanced synergy between operational service fairness and competitive value management, fishing parties are not only able to meet the basic expectations of customers, but also effectively achieve their highest expectations, which ultimately leads to strengthening participant satisfaction values ​​on a sustainable basis in the long term.</w:t>
      </w:r>
    </w:p>
    <w:p w:rsidR="00C57F80" w:rsidRPr="001F7972" w:rsidRDefault="00C120EA" w:rsidP="001F7972">
      <w:pPr>
        <w:widowControl/>
        <w:spacing w:line="276" w:lineRule="auto"/>
        <w:jc w:val="both"/>
        <w:rPr>
          <w:rFonts w:ascii="Palatino Linotype" w:eastAsia="Palatino Linotype" w:hAnsi="Palatino Linotype" w:cs="Palatino Linotype"/>
          <w:b/>
          <w:color w:val="000000"/>
          <w:sz w:val="24"/>
          <w:szCs w:val="24"/>
        </w:rPr>
      </w:pPr>
      <w:r w:rsidRPr="001F7972">
        <w:rPr>
          <w:rFonts w:ascii="Palatino Linotype" w:eastAsia="Palatino Linotype" w:hAnsi="Palatino Linotype" w:cs="Palatino Linotype"/>
          <w:b/>
          <w:color w:val="000000"/>
          <w:sz w:val="24"/>
          <w:szCs w:val="24"/>
        </w:rPr>
        <w:t xml:space="preserve">REFERENCES </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Alfiatunnisa, E., Khairunnisa, H. Z., Hayati, S., &amp; Mauldia, V. L. (2022). Uji Validitas dan Reliabilitas terhadap Kemandirian Siswa Sekolah Dasar Kelas 1. Jurnal Hurriah: Jurnal Evaluasi Pendidikan Dan Penelitian, 3(2), 29–36. https://doi.org/10.56806/jh.v3i2.81</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Amalia, R. N., Dianingati, R. S., &amp; Annisaa, E. (2022). Pengaruh Jumlah Responden terhadap Hasil Uji Validitas dan Reliabilitas Kuesioner Pengetahuan dan Perilaku Swamedikasi. Generics: Journal of Research in Pharmacy, 2(1), 9–15. https://doi.org/10.14710/genres.v2i1.12271</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Amelia, T., &amp; Yoedtadi, M. G. (2024). Pengaruh Host dan Minat Menonton. Koneksi, 8(2), 472–480. https://doi.org/10.24912/kn.v8i2.27669</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Andy, &amp; Purwianti, L. (2017). Analisis Pengaruh Procedural Fairness, Distributive Fairness, Interactional Fairness, Trust, dan Satisfaction terhadap Continuance Intention in Online Shopping. Journal of Accounting &amp; Management Innovation, 1(2), 178–193.</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Arikan, E., Çilesiz, E., &amp; Arman, A. (2017). The Impact of Service Fairness Perception on Intention to Revisit: a Research in Canakkale. Journal of Recreation and Tourism Research, 4(4), 1–6.</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 xml:space="preserve">Arlinghaus, R., Øystein, A., Alós, J., Arismendi, I., Bower, S., Carle, S., Czarkowski, </w:t>
      </w:r>
      <w:r w:rsidRPr="001F7972">
        <w:rPr>
          <w:rFonts w:ascii="Palatino Linotype" w:eastAsia="Palatino Linotype" w:hAnsi="Palatino Linotype" w:cs="Palatino Linotype"/>
          <w:sz w:val="24"/>
          <w:szCs w:val="24"/>
        </w:rPr>
        <w:lastRenderedPageBreak/>
        <w:t>T., Freire, K. M. F., Hu, J., Hunt, L. M., Lyach, R., Kapusta, A., Salmi, P., Schwab, A., Tsuboi, J., Trella, M., McPhee, D., Potts, W., Wołos, A., &amp; Yang, Z.-J. (2021). Global Participation in and Public Attitudes Toward Recreational Fishing: International Perspectives and Developments. Reviews in Fisheries Science &amp; Aquaculture, 29(1), 58–95. https://doi.org/10.1080/23308249.2020.1782340</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Astaman, P., Hikmah, A. N., Dassir, M., Nadirah, S., &amp; Darwis, M. (2025). Livelihood Petani dan Perhutanan Nasional: Analisis Karakteristik Sosial-Ekonomi untuk Pengelolaan Hutan Lestari. Agriculture and Socio-Economic Journal, 2(1), 28–41. https://doi.org/10.61316/asej.v2i1.104</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Bhatt, K. (2020). Measuring Service Fairness and its Impact on Service Quality and Satisfaction: a Study of Indian Banking Services. Journal of Financial Services Marketing, 25, 35–44. https://doi.org/10.1057/s41264-020-00069-7</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Bowo, F. A. (2024). Systematic Literature Review: Menyelami Pengaruh Media Sosial terhadap Perilaku Konsumen di Sektor Usaha Kecil. EKOMA: Jurnal Ekonomi, Manajemen, Akuntansi, 4(1), 909–921. https://doi.org/10.56799/ekoma.v4i1.5939</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Burkett, E., &amp; Carter, A. (2020). It’s Not About the Fish: Women’s Experiences in a Gendered Recreation Landscape. Leisure Sciences, 44(7), 1013–1030. https://doi.org/https://doi.org/10.1080/01490400.2020.1780522</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Cahyani, N. P. F., Imbayani, I. G. A., &amp; Prayoga, I. M. S. (2025). Pengaruh Servicescape, Brand Image, dan Service Fairness terhadap Revisit Intention pada Blackpenny Villas Ubud. Jurnal Emas, 6(1), 17–33. https://doi.org/https://doi.org/10.36733/emas.v6i1.11264</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Elman, Y. A. P., &amp; Bakhtiar, M. R. (2024). Pengaruh Kualitas Layanan, Keadilan Layanan, Citra Bank, dan Kepercayaan terhadap Kepuasan Nasabah. Buletin Bisnis &amp; Manajemen, 10(1), 84–89. https://doi.org/https://doi.org/10.47686/bbm.v10i1.652</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Fadilah, R. (2025, June 14). Mengenal Mancing Galatama: Aturan, Sistem, dan Daya Tarik. ANTARA. https://www.antaranews.com/berita/4899533/mengenal-mancing-galatama-aturan-sistem-dan-daya-tarik</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Farooq, A., &amp; Moon, M. A. (2020). Service Fairness, Relationship Quality, and Customer Loyalty in the Banking Sector of Pakistan. Pakistan Journal of Commerce and Social Sciences, 14(2), 484–507.</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Febriyanti, F., Fauziah, R., Setiawan, E. B., &amp; Widiyanto, P. (2021). The Impact of Airport Policies towards Revisit Intentions through Service Quality and Customer Satisfaction (during Pandemic Covid-19 at Soekarno-Hatta Airport). Advances in Transportation and Logistics Research, 4, 270–280.</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lastRenderedPageBreak/>
        <w:t>Hair, J. F., Black, W. C., Babin, B. J., &amp; Anderson, R. E. (2019). Multivariate Data Analysis (8th ed.). Cengage.</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Hair, J. F., Risher, J. J., Sarstedt, M., &amp; Ringle, C. M. (2019). When to Use and How to Report the Results of PLS-SEM. European Business Review, 31(1), 2–24. https://doi.org/10.1108/EBR-11-2018-0203</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Howarth, A., Cooke, S. J., Nguyen, V. M., &amp; Hunt, L. M. (2024). Non-probabilistic Surveys and Sampling in the Human Dimensions of Fisheries. Rev Fish Biol Fisheries, 34(2), 597–622. https://doi.org/https://doi.org/10.1007/s11160-023-09831-1</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Komala, C. C., Norisanti, N., &amp; Ramdan, A. M. (2019). Analisis Kualitas Makanan dan Perceived Value terhadap Kepuasan Konsumen pada Industri Rumah Makan. Jurnal Riset Inspirasi Manajemen Dan Kewirausahaan, 3(2), 58–64. https://doi.org/https://doi.org/10.35130/jrimk.v3i2</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Kriyantono, R. (2022). Teknik Praktis Riset Komunikasi Kuantitatif dan Kualitatif Disertai Contoh Praktis Skripsi, Tesis, dan Disertasi Riset Media, Public Relations, Advertising, Komunikasi Organisasi, Komunikasi Pemasaran (2nd ed.). Kencana.</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Morales-Nin, B., Arlinghaus, R., &amp; Alós, J. (2021). Contrasting the Motivations and Wildlife-Related Value Orientations of Recreational Fishers with Participants of Other Outdoor and Indoor Recreational Activities. Frontiers in Marine Science, 8, 1–15. https://doi.org/10.3389/fmars.2021.714733</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Nelly, &amp; Pebrianti, T. (2024). Analisis Penerapan Strategi Pemasaran terhadap Kepuasan Pengunjung pada Kolam Pemancingan Sumber Rezeki di Tanjung Raja Kabupaten Ogan Ilir Sumatera Selatan. Jurnal EKOBIS: Kajian Ekonomi Dan Bisnis, 7(2), 59–77.</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Pangaribuan, C. H., Sofia, A., &amp; Sitinjak, M. F. (2020). Factors of Coffee Shop Revisit Intention and Word-of-Mouth Mediated by Customer Satisfaction. Journal of Management and Business, 19(1), 1–14. https://doi.org/https://doi.org/10.24123/jmb.v19i1</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Pribadi, W. W., Yunus, A., &amp; Wiguna, A. S. (2022). Perbandingan Metode K-Means Euclidean Distance dan Manhattan Distance pada Penentuan Zonasi Covid-19 di Kabupaten Malang. JATI (Jurnal Mahasiswa Teknik Informatika), 6(2), 493–500. https://doi.org/https://doi.org/10.36040/jati.v6i2.4808</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 xml:space="preserve">Putri, P. P., &amp; Edison, E. (2024). Pengaruh Travel Motivation dan Perceived Value terhadap Minat Berkunjung Kembali di Desa Wisata Lebakmuncang Ciwidey. Manajemen Dan Pariwisata, 3(1), 107–128. </w:t>
      </w:r>
      <w:r w:rsidRPr="001F7972">
        <w:rPr>
          <w:rFonts w:ascii="Palatino Linotype" w:eastAsia="Palatino Linotype" w:hAnsi="Palatino Linotype" w:cs="Palatino Linotype"/>
          <w:sz w:val="24"/>
          <w:szCs w:val="24"/>
        </w:rPr>
        <w:lastRenderedPageBreak/>
        <w:t>https://doi.org/https://doi.org/10.32659/jmp.v3i1.345</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Rahmawati, E. D. (2024). Metodologi Penelitian Manajemen. Pustaka Baru Press.</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Riyanto, S., &amp; Setyorini, W. (2024). Metode Penelitian Kuantitatif dengan Pendekatan SmartPLS 4.0. Penerbit Deepublish.</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Rizan, M., Saidani, B., &amp; Anggraeni, R. (2022). Pengaruh Perceived Value dan Promotion terhadap Revisit Intention dengan Kepuasan sebagai Intervening. Jurnal Bisnis, Manajemen, Dan Keuangan, 3(1), 128–139. https://doi.org/https://doi.org/10.21009/jbmk.0301.10</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Ross, S. M., &amp; Kapitan, S. (2018). Balancing Self/Collective-Interest: Equity Theory for Prosocial Consumption. European Journal of Marketing, 52(3–4), 528–549. https://doi.org/https://doi.org/10.1108/EJM-01-2017-0002</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Rudiyanto, &amp; Hanifah. (2021). Peran Kejenuhan dalam Memediasi Lingkungan dan Beban Kerja terhadap Komitmen Organisasi. Jurnal STIE Semarang (Edisi Elektronik), 13(2), 1–19.</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Sadeghi, M., Zandieh, D., Mohammadi, M., Yaghoubibijarboneh, B., &amp; Vosta, S. N. (2016). Investigating the Impact of Service Climate on Intention to Revisit a Hotel: the Mediating Role of Perceived Service Quality and Relationship Quality. Journal of Management Science and Engineering Management, 12(1), 12–20. https://doi.org/https://doi.org/10.1080/17509653.2015.1113395</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Siswanto, Z. C. A. (2022). Analisis Pengaruh Service Quality, Perceived Value, Trust, dan Price pada Jasa Pengiriman terhadap Customer Loyalty saat Berbelanja Online [Tesis]. Universitas Indonesia.</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Solomon, M. R., &amp; Russell, C. A. (2024). Consumer Behavior: Buying, Having, and Being (14th ed.). Pearson.</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Syafei, L. S. (2017). Keanekaragaman Hayati dan Konservasi Ikan Air Tawar. Jurnal Penyuluhan Kelautan Dan Perikanan Indonesia, 11(1), 48–62. https://doi.org/https://doi.org/10.33378/jppik.v11i1.85</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Tasya, A. I., &amp; Marsasi, E. G. (2023). The Effect of Perceived Value and EWOM on Loyalty in the Industry Consumer Goods Based on Equity Theory. Jurnal Ilmiah MEA (Manajemen, Ekonomi, Dan Akuntansi), 7(1), 236–252. https://doi.org/https://doi.org/10.31955/mea.v7i1.2867</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Tjiptono, F., &amp; Chandra, G. (2019). Service, Quality, &amp; Customer Satisfaction (5th ed.). Penerbit Andi.</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Umaroh, S., Rindiyani, R., &amp; Prasetyo, M. R. (2023). Pengaruh Kualitas Sistem Aplikasi Ovo terhadap Kepuasan Pelanggan. Rekayasa Hijau: Jurnal Teknologi Ramah Lingkungan, 7(1), 49–60. https://doi.org/doi.org/10.26760/jrh.V7i1</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lastRenderedPageBreak/>
        <w:t>Wang, X., Yuen, K. F., Teo, C.-C., &amp; Wong, Y. D. (2021). Online Consumers’ Satisfaction in Self-Collection: Value Co-Creation from the Service Fairness Perspective. International Journal of Electronic Commerce, 25(2), 230–260. https://doi.org/https://doi.org/10.1080/10864415.2021.1887699</w:t>
      </w:r>
    </w:p>
    <w:p w:rsidR="008B3B1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Yulianto, A., Setiadi, R., &amp; Herniah. (2023). How Visitor Satisfaction and Intention to Revisit are Created by Event Quality and Perceived Value? A Lesson from the Local Food Festival in Brebes. Business Review and Case Studies, 4(3), 215–227. https://doi.org/https://doi.org/10.17358/brcs.4.3.215</w:t>
      </w:r>
    </w:p>
    <w:p w:rsidR="00C57F80" w:rsidRPr="001F7972" w:rsidRDefault="008B3B10" w:rsidP="001F7972">
      <w:pPr>
        <w:spacing w:line="276" w:lineRule="auto"/>
        <w:ind w:left="480" w:hanging="480"/>
        <w:jc w:val="both"/>
        <w:rPr>
          <w:rFonts w:ascii="Palatino Linotype" w:eastAsia="Palatino Linotype" w:hAnsi="Palatino Linotype" w:cs="Palatino Linotype"/>
          <w:sz w:val="24"/>
          <w:szCs w:val="24"/>
        </w:rPr>
      </w:pPr>
      <w:r w:rsidRPr="001F7972">
        <w:rPr>
          <w:rFonts w:ascii="Palatino Linotype" w:eastAsia="Palatino Linotype" w:hAnsi="Palatino Linotype" w:cs="Palatino Linotype"/>
          <w:sz w:val="24"/>
          <w:szCs w:val="24"/>
        </w:rPr>
        <w:t>Zoghbi-Manrique-de-Lara, P., &amp; Guerra-Báez, R. M. (2016). Fairness in the Local Movements of Tourists within a Destination: Justice Perceptions, Bus Services, and Destination Loyalty. Journal of Culture, Tourism and Hospitality Research, 10(3), 323–339. https://doi.org/10.1108/IJCTHR-09-2015-0103</w:t>
      </w:r>
      <w:r w:rsidR="00C120EA" w:rsidRPr="001F7972">
        <w:rPr>
          <w:rFonts w:ascii="Palatino Linotype" w:eastAsia="Palatino Linotype" w:hAnsi="Palatino Linotype" w:cs="Palatino Linotype"/>
          <w:sz w:val="24"/>
          <w:szCs w:val="24"/>
        </w:rPr>
        <w:t>.</w:t>
      </w:r>
    </w:p>
    <w:p w:rsidR="00C57F80" w:rsidRPr="001F7972" w:rsidRDefault="00C57F80" w:rsidP="001F7972">
      <w:pPr>
        <w:spacing w:line="276" w:lineRule="auto"/>
        <w:ind w:left="480" w:hanging="480"/>
        <w:jc w:val="both"/>
        <w:rPr>
          <w:rFonts w:ascii="Palatino Linotype" w:eastAsia="Palatino Linotype" w:hAnsi="Palatino Linotype" w:cs="Palatino Linotype"/>
          <w:sz w:val="20"/>
        </w:rPr>
      </w:pPr>
    </w:p>
    <w:sectPr w:rsidR="00C57F80" w:rsidRPr="001F7972" w:rsidSect="001F7972">
      <w:headerReference w:type="even" r:id="rId11"/>
      <w:headerReference w:type="default" r:id="rId12"/>
      <w:footerReference w:type="even" r:id="rId13"/>
      <w:footerReference w:type="default" r:id="rId14"/>
      <w:headerReference w:type="first" r:id="rId15"/>
      <w:footerReference w:type="first" r:id="rId16"/>
      <w:pgSz w:w="11907" w:h="16840"/>
      <w:pgMar w:top="1701" w:right="1418" w:bottom="1418" w:left="1418" w:header="567" w:footer="567" w:gutter="0"/>
      <w:pgNumType w:start="58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B88" w:rsidRDefault="00596B88">
      <w:pPr>
        <w:spacing w:line="240" w:lineRule="auto"/>
      </w:pPr>
      <w:r>
        <w:separator/>
      </w:r>
    </w:p>
  </w:endnote>
  <w:endnote w:type="continuationSeparator" w:id="0">
    <w:p w:rsidR="00596B88" w:rsidRDefault="00596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stria">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80" w:rsidRDefault="00C120EA">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i/>
        <w:color w:val="000000"/>
        <w:sz w:val="18"/>
        <w:szCs w:val="18"/>
      </w:rPr>
    </w:pP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sidR="001F7972">
      <w:rPr>
        <w:rFonts w:ascii="Palatino Linotype" w:eastAsia="Palatino Linotype" w:hAnsi="Palatino Linotype" w:cs="Palatino Linotype"/>
        <w:noProof/>
        <w:color w:val="000000"/>
        <w:sz w:val="18"/>
        <w:szCs w:val="18"/>
      </w:rPr>
      <w:t>600</w:t>
    </w:r>
    <w:r>
      <w:rPr>
        <w:rFonts w:ascii="Palatino Linotype" w:eastAsia="Palatino Linotype" w:hAnsi="Palatino Linotype" w:cs="Palatino Linotype"/>
        <w:color w:val="000000"/>
        <w:sz w:val="18"/>
        <w:szCs w:val="18"/>
      </w:rPr>
      <w:fldChar w:fldCharType="end"/>
    </w:r>
    <w:r>
      <w:rPr>
        <w:rFonts w:ascii="Palatino Linotype" w:eastAsia="Palatino Linotype" w:hAnsi="Palatino Linotype" w:cs="Palatino Linotype"/>
        <w:color w:val="000000"/>
        <w:sz w:val="18"/>
        <w:szCs w:val="18"/>
      </w:rPr>
      <w:tab/>
    </w:r>
    <w:r>
      <w:rPr>
        <w:noProof/>
        <w:lang w:val="en-US"/>
      </w:rPr>
      <mc:AlternateContent>
        <mc:Choice Requires="wps">
          <w:drawing>
            <wp:anchor distT="0" distB="0" distL="114300" distR="114300" simplePos="0" relativeHeight="251663360" behindDoc="0" locked="0" layoutInCell="1" hidden="0" allowOverlap="1" wp14:anchorId="5B98D360" wp14:editId="10F1F94C">
              <wp:simplePos x="0" y="0"/>
              <wp:positionH relativeFrom="column">
                <wp:posOffset>177800</wp:posOffset>
              </wp:positionH>
              <wp:positionV relativeFrom="paragraph">
                <wp:posOffset>0</wp:posOffset>
              </wp:positionV>
              <wp:extent cx="0" cy="142619"/>
              <wp:effectExtent l="0" t="0" r="0" b="0"/>
              <wp:wrapNone/>
              <wp:docPr id="1821908886" name="Straight Arrow Connector 1821908886"/>
              <wp:cNvGraphicFramePr/>
              <a:graphic xmlns:a="http://schemas.openxmlformats.org/drawingml/2006/main">
                <a:graphicData uri="http://schemas.microsoft.com/office/word/2010/wordprocessingShape">
                  <wps:wsp>
                    <wps:cNvCnPr/>
                    <wps:spPr>
                      <a:xfrm>
                        <a:off x="5346000" y="3708691"/>
                        <a:ext cx="0" cy="142619"/>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77BCA0" id="_x0000_t32" coordsize="21600,21600" o:spt="32" o:oned="t" path="m,l21600,21600e" filled="f">
              <v:path arrowok="t" fillok="f" o:connecttype="none"/>
              <o:lock v:ext="edit" shapetype="t"/>
            </v:shapetype>
            <v:shape id="Straight Arrow Connector 1821908886" o:spid="_x0000_s1026" type="#_x0000_t32" style="position:absolute;margin-left:14pt;margin-top:0;width:0;height:11.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wdN+AEAANsDAAAOAAAAZHJzL2Uyb0RvYy54bWysU9tuEzEQfUfiHyy/k720CZtVNhVKKC8I&#10;IpV+wNT27lr4Jttkk79n7A1pgYdKiBd77Jk5PnNmvLk7aUWOwgdpTUerRUmJMMxyaYaOPn67f9dQ&#10;EiIYDsoa0dGzCPRu+/bNZnKtqO1oFReeIIgJ7eQ6Osbo2qIIbBQawsI6YdDZW68h4tEPBfcwIbpW&#10;RV2Wq2KynjtvmQgBb/ezk24zft8LFr/2fRCRqI4it5hXn9entBbbDbSDBzdKdqEB/8BCgzT46BVq&#10;DxHIDy//gtKSeRtsHxfM6sL2vWQi14DVVOUf1TyM4ESuBcUJ7ipT+H+w7Mvx4Ink2LumrtZl0zQr&#10;Sgxo7NVD9CCHMZIP3tuJ7KwxqKf15EUo6je50CLMzhz85RTcwScxTr3Xaccyyamjy5vbVVliF84d&#10;vXlfNqt1NesvTpEwDEAXQ191W6+qdXIVzxjOh/hJWE2S0dFw4XYlVWX54fg5xDnxV0IiYOy9VArv&#10;oVWGTB1dL+slPgY4cb2CiKZ2qEEwQ4YJVkmeUlJGnkWxU54cAaeIf8+skdpvUem5PYRxDsquuTgt&#10;I064krqjDVaP9WceowD+0XASzw6lNvg5aCIWNCVK4FdCI8dFkOr1OGSjDOqVejGrn6wny8+5Kfke&#10;Jygrepn2NKIvzzn7+U9ufwIAAP//AwBQSwMEFAAGAAgAAAAhAJ6ng9vYAAAABQEAAA8AAABkcnMv&#10;ZG93bnJldi54bWxMj8FuwjAQRO+V+g/WVuqtOISCUIiDUKUeOKECH+DESxJhr6PYmPD33fbSXnY1&#10;mtXsm3I7OSsSjqH3pGA+y0AgNd701Co4nz7f1iBC1GS09YQKHhhgWz0/lbow/k5fmI6xFRxCodAK&#10;uhiHQsrQdOh0mPkBib2LH52OLMdWmlHfOdxZmWfZSjrdE3/o9IAfHTbX480p2KV9u5CLQ3r09I5x&#10;ZdPe1welXl+m3QZExCn+HcMPPqNDxUy1v5EJwirI11wlKuDJ7q+qeedLkFUp/9NX3wAAAP//AwBQ&#10;SwECLQAUAAYACAAAACEAtoM4kv4AAADhAQAAEwAAAAAAAAAAAAAAAAAAAAAAW0NvbnRlbnRfVHlw&#10;ZXNdLnhtbFBLAQItABQABgAIAAAAIQA4/SH/1gAAAJQBAAALAAAAAAAAAAAAAAAAAC8BAABfcmVs&#10;cy8ucmVsc1BLAQItABQABgAIAAAAIQBC1wdN+AEAANsDAAAOAAAAAAAAAAAAAAAAAC4CAABkcnMv&#10;ZTJvRG9jLnhtbFBLAQItABQABgAIAAAAIQCep4Pb2AAAAAUBAAAPAAAAAAAAAAAAAAAAAFIEAABk&#10;cnMvZG93bnJldi54bWxQSwUGAAAAAAQABADzAAAAVwUAAAAA&#10;" strokecolor="black [3200]">
              <v:stroke startarrowwidth="narrow" startarrowlength="short" endarrowwidth="narrow" endarrowlength="short" joinstyle="miter"/>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80" w:rsidRDefault="00C120EA">
    <w:pPr>
      <w:widowControl/>
      <w:pBdr>
        <w:top w:val="nil"/>
        <w:left w:val="nil"/>
        <w:bottom w:val="nil"/>
        <w:right w:val="nil"/>
        <w:between w:val="nil"/>
      </w:pBdr>
      <w:tabs>
        <w:tab w:val="right" w:pos="10080"/>
      </w:tabs>
      <w:spacing w:line="240" w:lineRule="auto"/>
      <w:ind w:right="140"/>
      <w:jc w:val="right"/>
      <w:rPr>
        <w:rFonts w:ascii="Palatino Linotype" w:eastAsia="Palatino Linotype" w:hAnsi="Palatino Linotype" w:cs="Palatino Linotype"/>
        <w:color w:val="000000"/>
        <w:sz w:val="18"/>
        <w:szCs w:val="18"/>
      </w:rPr>
    </w:pPr>
    <w:r>
      <w:rPr>
        <w:rFonts w:ascii="Garamond" w:eastAsia="Garamond" w:hAnsi="Garamond" w:cs="Garamond"/>
        <w:i/>
        <w:color w:val="000000"/>
        <w:szCs w:val="16"/>
      </w:rPr>
      <w:t xml:space="preserve">    </w:t>
    </w:r>
    <w:r>
      <w:rPr>
        <w:rFonts w:ascii="Garamond" w:eastAsia="Garamond" w:hAnsi="Garamond" w:cs="Garamond"/>
        <w:i/>
        <w:color w:val="000000"/>
        <w:szCs w:val="16"/>
      </w:rPr>
      <w:tab/>
      <w:t xml:space="preserve"> </w:t>
    </w:r>
    <w:r>
      <w:rPr>
        <w:rFonts w:ascii="Palatino Linotype" w:eastAsia="Palatino Linotype" w:hAnsi="Palatino Linotype" w:cs="Palatino Linotype"/>
        <w:i/>
        <w:color w:val="000000"/>
        <w:sz w:val="18"/>
        <w:szCs w:val="18"/>
      </w:rPr>
      <w:t xml:space="preserve"> </w:t>
    </w: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sidR="001F7972">
      <w:rPr>
        <w:rFonts w:ascii="Palatino Linotype" w:eastAsia="Palatino Linotype" w:hAnsi="Palatino Linotype" w:cs="Palatino Linotype"/>
        <w:noProof/>
        <w:color w:val="000000"/>
        <w:sz w:val="18"/>
        <w:szCs w:val="18"/>
      </w:rPr>
      <w:t>601</w:t>
    </w:r>
    <w:r>
      <w:rPr>
        <w:rFonts w:ascii="Palatino Linotype" w:eastAsia="Palatino Linotype" w:hAnsi="Palatino Linotype" w:cs="Palatino Linotype"/>
        <w:color w:val="000000"/>
        <w:sz w:val="18"/>
        <w:szCs w:val="18"/>
      </w:rPr>
      <w:fldChar w:fldCharType="end"/>
    </w:r>
    <w:r>
      <w:rPr>
        <w:noProof/>
        <w:lang w:val="en-US"/>
      </w:rPr>
      <mc:AlternateContent>
        <mc:Choice Requires="wps">
          <w:drawing>
            <wp:anchor distT="0" distB="0" distL="114300" distR="114300" simplePos="0" relativeHeight="251661312" behindDoc="0" locked="0" layoutInCell="1" hidden="0" allowOverlap="1" wp14:anchorId="2DF58FE8" wp14:editId="409E9312">
              <wp:simplePos x="0" y="0"/>
              <wp:positionH relativeFrom="column">
                <wp:posOffset>5461000</wp:posOffset>
              </wp:positionH>
              <wp:positionV relativeFrom="paragraph">
                <wp:posOffset>0</wp:posOffset>
              </wp:positionV>
              <wp:extent cx="0" cy="156881"/>
              <wp:effectExtent l="0" t="0" r="0" b="0"/>
              <wp:wrapNone/>
              <wp:docPr id="1821908888" name="Straight Arrow Connector 1821908888"/>
              <wp:cNvGraphicFramePr/>
              <a:graphic xmlns:a="http://schemas.openxmlformats.org/drawingml/2006/main">
                <a:graphicData uri="http://schemas.microsoft.com/office/word/2010/wordprocessingShape">
                  <wps:wsp>
                    <wps:cNvCnPr/>
                    <wps:spPr>
                      <a:xfrm>
                        <a:off x="5346000" y="3701560"/>
                        <a:ext cx="0" cy="156881"/>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AFAEE6" id="_x0000_t32" coordsize="21600,21600" o:spt="32" o:oned="t" path="m,l21600,21600e" filled="f">
              <v:path arrowok="t" fillok="f" o:connecttype="none"/>
              <o:lock v:ext="edit" shapetype="t"/>
            </v:shapetype>
            <v:shape id="Straight Arrow Connector 1821908888" o:spid="_x0000_s1026" type="#_x0000_t32" style="position:absolute;margin-left:430pt;margin-top:0;width:0;height:12.3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V9o9QEAANsDAAAOAAAAZHJzL2Uyb0RvYy54bWysU02P0zAQvSPxHyzfaZIuLdmo6Qq1LBcE&#10;lRZ+wKztNBb+0tg07b9n7Ha7CxyQEDk4Y8/M85s349Xd0Rp2UBi1dz1vZjVnygkvtdv3/NvX+zct&#10;ZzGBk2C8Uz0/qcjv1q9frabQqbkfvZEKGYG42E2h52NKoauqKEZlIc58UI6cg0cLiba4ryTCROjW&#10;VPO6XlaTRxnQCxUjnW7PTr4u+MOgRPoyDFElZnpO3FJZsayPea3WK+j2CGHU4kID/oGFBe3o0ivU&#10;FhKwH6j/gLJaoI9+SDPhbeWHQQtVaqBqmvq3ah5GCKrUQuLEcJUp/j9Y8fmwQ6Yl9a6dN7d1Sx9n&#10;Diz16iEh6P2Y2HtEP7GNd4709MhehJJ+U4gdwWzcDi+7GHaYxTgOaPOfymTHni9u3i7rmrpw6vnN&#10;u7pZLC/6q2NiggLIJchHjrZtcmuqZ4yAMX1U3rJs9DxeuF1JNUV+OHyK6Zz4lJAJOH+vjaFz6Ixj&#10;U89vF/MFXQY0cYOBRKYNpEF0+wITvdEyp+SMMotqY5AdgKZIfn+i9ktUvm4LcTwHFdd5uKxONOFG&#10;2563VD3VX3iMCuQHJ1k6BZLa0ePgmVi0nBlFT4mMEpdAm7/HkVDGkV65F2f1s/Xo5ak0pZzTBBVF&#10;L9OeR/TlvmQ/v8n1TwAAAP//AwBQSwMEFAAGAAgAAAAhAE9tTinaAAAABwEAAA8AAABkcnMvZG93&#10;bnJldi54bWxMj81qwzAQhO+FvoPYQm+NnB/c4HodQqGHnELTPoBsbW0Ta2UsRXHevlt6aC8Dwywz&#10;35a72Q0q0RR6zwjLRQaKuPG25xbh8+PtaQsqRMPWDJ4J4UYBdtX9XWkK66/8TukUWyUlHAqD0MU4&#10;FlqHpiNnwsKPxJJ9+cmZKHZqtZ3MVcrdoFdZlmtnepaFzoz02lFzPl0cwj4d2rVeH9Ot5w3FfEgH&#10;Xx8RHx/m/QuoSHP8O4YffEGHSphqf2Eb1ICwzTP5JSKISvxra4TV5hl0Ver//NU3AAAA//8DAFBL&#10;AQItABQABgAIAAAAIQC2gziS/gAAAOEBAAATAAAAAAAAAAAAAAAAAAAAAABbQ29udGVudF9UeXBl&#10;c10ueG1sUEsBAi0AFAAGAAgAAAAhADj9If/WAAAAlAEAAAsAAAAAAAAAAAAAAAAALwEAAF9yZWxz&#10;Ly5yZWxzUEsBAi0AFAAGAAgAAAAhAPl5X2j1AQAA2wMAAA4AAAAAAAAAAAAAAAAALgIAAGRycy9l&#10;Mm9Eb2MueG1sUEsBAi0AFAAGAAgAAAAhAE9tTinaAAAABwEAAA8AAAAAAAAAAAAAAAAATwQAAGRy&#10;cy9kb3ducmV2LnhtbFBLBQYAAAAABAAEAPMAAABWBQAAAAA=&#10;" strokecolor="black [3200]">
              <v:stroke startarrowwidth="narrow" startarrowlength="short" endarrowwidth="narrow" endarrowlength="short" joinstyle="miter"/>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80" w:rsidRDefault="00C120EA">
    <w:r>
      <w:rPr>
        <w:noProof/>
        <w:lang w:val="en-US"/>
      </w:rPr>
      <mc:AlternateContent>
        <mc:Choice Requires="wps">
          <w:drawing>
            <wp:anchor distT="0" distB="0" distL="114300" distR="114300" simplePos="0" relativeHeight="251662336" behindDoc="0" locked="0" layoutInCell="1" hidden="0" allowOverlap="1" wp14:anchorId="60F36E7A" wp14:editId="75E22199">
              <wp:simplePos x="0" y="0"/>
              <wp:positionH relativeFrom="column">
                <wp:posOffset>1041400</wp:posOffset>
              </wp:positionH>
              <wp:positionV relativeFrom="paragraph">
                <wp:posOffset>139700</wp:posOffset>
              </wp:positionV>
              <wp:extent cx="0" cy="12700"/>
              <wp:effectExtent l="0" t="0" r="0" b="0"/>
              <wp:wrapNone/>
              <wp:docPr id="1821908885" name="Straight Arrow Connector 1821908885"/>
              <wp:cNvGraphicFramePr/>
              <a:graphic xmlns:a="http://schemas.openxmlformats.org/drawingml/2006/main">
                <a:graphicData uri="http://schemas.microsoft.com/office/word/2010/wordprocessingShape">
                  <wps:wsp>
                    <wps:cNvCnPr/>
                    <wps:spPr>
                      <a:xfrm>
                        <a:off x="3552125" y="3780000"/>
                        <a:ext cx="35877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55F109" id="_x0000_t32" coordsize="21600,21600" o:spt="32" o:oned="t" path="m,l21600,21600e" filled="f">
              <v:path arrowok="t" fillok="f" o:connecttype="none"/>
              <o:lock v:ext="edit" shapetype="t"/>
            </v:shapetype>
            <v:shape id="Straight Arrow Connector 1821908885" o:spid="_x0000_s1026" type="#_x0000_t32" style="position:absolute;margin-left:82pt;margin-top:11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t8wEAANwDAAAOAAAAZHJzL2Uyb0RvYy54bWysU01v2zAMvQ/YfxB0X2xnyOIacYohWXcZ&#10;tgDdfgArybEwfUHU4uTfj1LStFsPBYb5IFMi+fT4SK1uj9awg4qovet5M6s5U054qd2+5z++371r&#10;OcMEToLxTvX8pJDfrt++WU2hU3M/eiNVZATisJtCz8eUQldVKEZlAWc+KEfOwUcLibZxX8kIE6Fb&#10;U83r+kM1+ShD9EIh0un27OTrgj8MSqRvw4AqMdNz4pbKGsv6kNdqvYJuHyGMWlxowD+wsKAdXXqF&#10;2kIC9ivqF1BWi+jRD2kmvK38MGihSg1UTVP/Vc39CEGVWkgcDFeZ8P/Biq+HXWRaUu/aeXNTt227&#10;4MyBpV7dpwh6Pyb2MUY/sY13jvT0kT0LJf2mgB3BbNwuXnYYdjGLcRyizX8qkx17/n6xmDdzgj+R&#10;vWxr+s76q2NiogS0y+WC2iQooviqJ5AQMX1W3rJs9Bwv5K6smqI/HL5gIhqU+JiQGTh/p40pzTaO&#10;TT2/WWQiAmjkBgOJTBtIBHT7AoPeaJlTcnIZRrUxkR2Axkj+bDJtuuGPqHzdFnA8BxXXuTqrE424&#10;0bbnpeZL0aMC+clJlk6BtHb0OngmhpYzo+gtkVH4JtDm9ThiYxyRys04y5+tBy9PpSvlnEao0L6M&#10;e57R5/uS/fQo178BAAD//wMAUEsDBBQABgAIAAAAIQAm72y62AAAAAkBAAAPAAAAZHJzL2Rvd25y&#10;ZXYueG1sTE/LasMwELwX8g9iA701cp1ggms5hEAOOYWm/QDZ2tqm0spYiuL8fTe9tKdlHszOVLvZ&#10;WZFwCoMnBa+rDARS681AnYLPj+PLFkSImoy2nlDBHQPs6sVTpUvjb/SO6RI7wSEUSq2gj3EspQxt&#10;j06HlR+RWPvyk9OR4dRJM+kbhzsr8ywrpNMD8Ydej3josf2+XJ2CfTp1a7k+p/tAG4yFTSffnJV6&#10;Xs77NxAR5/hnhkd9rg41d2r8lUwQlnGx4S1RQZ7zfRh+iYYJFmRdyf8L6h8AAAD//wMAUEsBAi0A&#10;FAAGAAgAAAAhALaDOJL+AAAA4QEAABMAAAAAAAAAAAAAAAAAAAAAAFtDb250ZW50X1R5cGVzXS54&#10;bWxQSwECLQAUAAYACAAAACEAOP0h/9YAAACUAQAACwAAAAAAAAAAAAAAAAAvAQAAX3JlbHMvLnJl&#10;bHNQSwECLQAUAAYACAAAACEAlRfprfMBAADcAwAADgAAAAAAAAAAAAAAAAAuAgAAZHJzL2Uyb0Rv&#10;Yy54bWxQSwECLQAUAAYACAAAACEAJu9sutgAAAAJAQAADwAAAAAAAAAAAAAAAABNBAAAZHJzL2Rv&#10;d25yZXYueG1sUEsFBgAAAAAEAAQA8wAAAFIFAAAAAA==&#10;" strokecolor="black [3200]">
              <v:stroke startarrowwidth="narrow" startarrowlength="short" endarrowwidth="narrow" endarrowlength="short" joinstyle="miter"/>
            </v:shape>
          </w:pict>
        </mc:Fallback>
      </mc:AlternateContent>
    </w:r>
  </w:p>
  <w:p w:rsidR="00C57F80" w:rsidRDefault="00C120EA">
    <w:pPr>
      <w:widowControl/>
      <w:spacing w:line="240" w:lineRule="auto"/>
      <w:ind w:left="851" w:right="851"/>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Published by Edujavare Publishing; Indonesia</w:t>
    </w:r>
  </w:p>
  <w:p w:rsidR="003965AC" w:rsidRPr="003965AC" w:rsidRDefault="003965AC" w:rsidP="003965AC">
    <w:pPr>
      <w:spacing w:line="240" w:lineRule="auto"/>
      <w:ind w:left="851" w:right="850"/>
      <w:jc w:val="center"/>
      <w:rPr>
        <w:rFonts w:ascii="Palatino Linotype" w:hAnsi="Palatino Linotype" w:cs="Arial"/>
        <w:sz w:val="18"/>
        <w:szCs w:val="18"/>
        <w:lang w:val="id-ID"/>
      </w:rPr>
    </w:pPr>
    <w:r>
      <w:rPr>
        <w:rFonts w:ascii="Palatino Linotype" w:hAnsi="Palatino Linotype" w:cs="Arial"/>
        <w:sz w:val="18"/>
        <w:szCs w:val="18"/>
      </w:rPr>
      <w:t>Accredited SINTA</w:t>
    </w:r>
    <w:r>
      <w:rPr>
        <w:rFonts w:ascii="Palatino Linotype" w:hAnsi="Palatino Linotype" w:cs="Arial"/>
        <w:sz w:val="18"/>
        <w:szCs w:val="18"/>
        <w:lang w:val="id-ID"/>
      </w:rPr>
      <w:t xml:space="preserve"> 4</w:t>
    </w:r>
  </w:p>
  <w:p w:rsidR="00C57F80" w:rsidRDefault="00C57F80">
    <w:pPr>
      <w:spacing w:line="240" w:lineRule="auto"/>
      <w:ind w:left="851" w:right="850"/>
      <w:jc w:val="center"/>
      <w:rPr>
        <w:rFonts w:ascii="Palatino Linotype" w:eastAsia="Palatino Linotype" w:hAnsi="Palatino Linotype" w:cs="Palatino Linotype"/>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B88" w:rsidRDefault="00596B88">
      <w:pPr>
        <w:spacing w:line="240" w:lineRule="auto"/>
      </w:pPr>
      <w:r>
        <w:separator/>
      </w:r>
    </w:p>
  </w:footnote>
  <w:footnote w:type="continuationSeparator" w:id="0">
    <w:p w:rsidR="00596B88" w:rsidRDefault="00596B8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972" w:rsidRPr="001F7972" w:rsidRDefault="001F7972" w:rsidP="001F7972">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i/>
        <w:color w:val="000000"/>
        <w:szCs w:val="16"/>
      </w:rPr>
    </w:pPr>
    <w:r w:rsidRPr="001F7972">
      <w:rPr>
        <w:rFonts w:ascii="Palatino Linotype" w:eastAsia="Palatino Linotype" w:hAnsi="Palatino Linotype" w:cs="Palatino Linotype"/>
        <w:i/>
        <w:color w:val="000000"/>
        <w:szCs w:val="16"/>
      </w:rPr>
      <w:t xml:space="preserve">Perceived Service Fairness Dan Revisit Intention Galatama: Peran Mediasi Customer Satisfaction </w:t>
    </w:r>
  </w:p>
  <w:p w:rsidR="00C57F80" w:rsidRDefault="001F7972" w:rsidP="001F7972">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i/>
        <w:color w:val="000000"/>
        <w:szCs w:val="16"/>
      </w:rPr>
    </w:pPr>
    <w:r>
      <w:rPr>
        <w:rFonts w:ascii="Palatino Linotype" w:eastAsia="Palatino Linotype" w:hAnsi="Palatino Linotype" w:cs="Palatino Linotype"/>
        <w:i/>
        <w:color w:val="000000"/>
        <w:szCs w:val="16"/>
        <w:lang w:val="id-ID"/>
      </w:rPr>
      <w:t>(</w:t>
    </w:r>
    <w:r w:rsidRPr="001F7972">
      <w:rPr>
        <w:rFonts w:ascii="Palatino Linotype" w:eastAsia="Palatino Linotype" w:hAnsi="Palatino Linotype" w:cs="Palatino Linotype"/>
        <w:i/>
        <w:color w:val="000000"/>
        <w:szCs w:val="16"/>
      </w:rPr>
      <w:t>Theodora Amelia</w:t>
    </w:r>
    <w:r w:rsidRPr="001F7972">
      <w:rPr>
        <w:rFonts w:ascii="Palatino Linotype" w:eastAsia="Palatino Linotype" w:hAnsi="Palatino Linotype" w:cs="Palatino Linotype"/>
        <w:i/>
        <w:color w:val="000000"/>
        <w:szCs w:val="16"/>
      </w:rPr>
      <w:t xml:space="preserve"> </w:t>
    </w:r>
    <w:r w:rsidR="00C120EA">
      <w:rPr>
        <w:rFonts w:ascii="Palatino Linotype" w:eastAsia="Palatino Linotype" w:hAnsi="Palatino Linotype" w:cs="Palatino Linotype"/>
        <w:i/>
        <w:color w:val="000000"/>
        <w:szCs w:val="16"/>
      </w:rPr>
      <w:t>et al)</w:t>
    </w:r>
    <w:r w:rsidR="00C120EA" w:rsidRPr="001F7972">
      <w:rPr>
        <w:rFonts w:ascii="Palatino Linotype" w:eastAsia="Palatino Linotype" w:hAnsi="Palatino Linotype" w:cs="Palatino Linotype"/>
        <w:i/>
        <w:color w:val="000000"/>
        <w:szCs w:val="16"/>
      </w:rPr>
      <mc:AlternateContent>
        <mc:Choice Requires="wps">
          <w:drawing>
            <wp:anchor distT="0" distB="0" distL="114300" distR="114300" simplePos="0" relativeHeight="251660288" behindDoc="0" locked="0" layoutInCell="1" hidden="0" allowOverlap="1" wp14:anchorId="79BA92C4" wp14:editId="059D7386">
              <wp:simplePos x="0" y="0"/>
              <wp:positionH relativeFrom="column">
                <wp:posOffset>12701</wp:posOffset>
              </wp:positionH>
              <wp:positionV relativeFrom="paragraph">
                <wp:posOffset>139700</wp:posOffset>
              </wp:positionV>
              <wp:extent cx="0" cy="12700"/>
              <wp:effectExtent l="0" t="0" r="0" b="0"/>
              <wp:wrapNone/>
              <wp:docPr id="1821908883" name="Straight Arrow Connector 1821908883"/>
              <wp:cNvGraphicFramePr/>
              <a:graphic xmlns:a="http://schemas.openxmlformats.org/drawingml/2006/main">
                <a:graphicData uri="http://schemas.microsoft.com/office/word/2010/wordprocessingShape">
                  <wps:wsp>
                    <wps:cNvCnPr/>
                    <wps:spPr>
                      <a:xfrm>
                        <a:off x="2470720" y="3780000"/>
                        <a:ext cx="575056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2E19D0" id="_x0000_t32" coordsize="21600,21600" o:spt="32" o:oned="t" path="m,l21600,21600e" filled="f">
              <v:path arrowok="t" fillok="f" o:connecttype="none"/>
              <o:lock v:ext="edit" shapetype="t"/>
            </v:shapetype>
            <v:shape id="Straight Arrow Connector 1821908883" o:spid="_x0000_s1026" type="#_x0000_t32" style="position:absolute;margin-left:1pt;margin-top:1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a5g9gEAAN0DAAAOAAAAZHJzL2Uyb0RvYy54bWysU8uOEzEQvCPxD5bvZB5LNkOUyQolLBcE&#10;kRY+oNf2ZCz8Uttkkr+n7WSzCxyQEHPw+NFdrqpur+6O1rCDwqi963kzqzlTTnip3b7n377ev+k4&#10;iwmcBOOd6vlJRX63fv1qNYWlav3ojVTICMTF5RR6PqYUllUVxagsxJkPytHh4NFCoiXuK4kwEbo1&#10;VVvXt9XkUQb0QsVIu9vzIV8X/GFQIn0ZhqgSMz0nbqmMWMbHPFbrFSz3CGHU4kID/oGFBe3o0ivU&#10;FhKwH6j/gLJaoI9+SDPhbeWHQQtVNJCapv5NzcMIQRUtZE4MV5vi/4MVnw87ZFpS7bq2eVd3XXfD&#10;mQNLtXpICHo/JvYe0U9s450jPz2yF6Hk3xTikmA2boeXVQw7zGYcB7T5TzLZseft20W9aKkKp57f&#10;LLqavrP/6piYoID5Yl7PbylAUEQ5q55BAsb0UXnL8qTn8ULuyqop/sPhU0xEgxKfEjID5++1MaXY&#10;xrGJ1LYLup0JoJ4bDCSa2kAuRLcvONEbLXNOzi7dqDYG2QGoj+T3JvOmK36JyvdtIY7noHJ0lmd1&#10;oh432va8iL6oHhXID06ydApktqPnwTOzaDkzih4TTQrhBNr8PY7YGEekcjXO/ufZo5enUpayTz1U&#10;aF/6PTfpy3XJfn6V658AAAD//wMAUEsDBBQABgAIAAAAIQCFBMRO1gAAAAUBAAAPAAAAZHJzL2Rv&#10;d25yZXYueG1sTI/BbsIwDIbvk/YOkSftNlJYNUFpihASB3YbQ5xDY5qKxqmaULK3n3vaTp+s3/r9&#10;udwk14kRh9B6UjCfZSCQam9aahScvvdvSxAhajK684QKfjDApnp+KnVh/IO+cDzGRnAJhUIrsDH2&#10;hZShtuh0mPkeibOrH5yOPA6NNIN+cLnr5CLLPqTTLfEFq3vcWaxvx7tTkNvWv6ft5+mQ45jq3ep8&#10;C+NZqdeXtF2DiJji3zJM+qwOFTtd/J1MEJ2CBX8SGRM5nnBh5BnIqpT/7atfAAAA//8DAFBLAQIt&#10;ABQABgAIAAAAIQC2gziS/gAAAOEBAAATAAAAAAAAAAAAAAAAAAAAAABbQ29udGVudF9UeXBlc10u&#10;eG1sUEsBAi0AFAAGAAgAAAAhADj9If/WAAAAlAEAAAsAAAAAAAAAAAAAAAAALwEAAF9yZWxzLy5y&#10;ZWxzUEsBAi0AFAAGAAgAAAAhALXFrmD2AQAA3QMAAA4AAAAAAAAAAAAAAAAALgIAAGRycy9lMm9E&#10;b2MueG1sUEsBAi0AFAAGAAgAAAAhAIUExE7WAAAABQEAAA8AAAAAAAAAAAAAAAAAUAQAAGRycy9k&#10;b3ducmV2LnhtbFBLBQYAAAAABAAEAPMAAABTBQAAAAA=&#10;" strokecolor="black [3200]" strokeweight="1pt">
              <v:stroke startarrowwidth="narrow" startarrowlength="short" endarrowwidth="narrow" endarrowlength="short" joinstyle="miter"/>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80" w:rsidRDefault="00C120EA">
    <w:pPr>
      <w:widowControl/>
      <w:pBdr>
        <w:top w:val="nil"/>
        <w:left w:val="nil"/>
        <w:bottom w:val="nil"/>
        <w:right w:val="nil"/>
        <w:between w:val="nil"/>
      </w:pBdr>
      <w:tabs>
        <w:tab w:val="center" w:pos="4706"/>
        <w:tab w:val="right" w:pos="9356"/>
      </w:tabs>
      <w:spacing w:before="120" w:line="240" w:lineRule="auto"/>
      <w:rPr>
        <w:rFonts w:ascii="Palatino Linotype" w:eastAsia="Palatino Linotype" w:hAnsi="Palatino Linotype" w:cs="Palatino Linotype"/>
        <w:b/>
        <w:color w:val="000000"/>
        <w:sz w:val="18"/>
        <w:szCs w:val="18"/>
      </w:rPr>
    </w:pPr>
    <w:r>
      <w:rPr>
        <w:rFonts w:ascii="Palatino Linotype" w:eastAsia="Palatino Linotype" w:hAnsi="Palatino Linotype" w:cs="Palatino Linotype"/>
        <w:b/>
        <w:color w:val="000000"/>
        <w:sz w:val="22"/>
        <w:szCs w:val="22"/>
        <w:highlight w:val="white"/>
      </w:rPr>
      <w:t xml:space="preserve"> </w:t>
    </w:r>
    <w:r>
      <w:rPr>
        <w:rFonts w:ascii="Palatino Linotype" w:eastAsia="Palatino Linotype" w:hAnsi="Palatino Linotype" w:cs="Palatino Linotype"/>
        <w:b/>
        <w:color w:val="000000"/>
        <w:sz w:val="18"/>
        <w:szCs w:val="18"/>
      </w:rPr>
      <w:t>Journal of Creative Power and Ambition (JCPA)</w:t>
    </w:r>
  </w:p>
  <w:p w:rsidR="00C57F80" w:rsidRDefault="00C120EA">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Cs w:val="16"/>
        <w:highlight w:val="white"/>
      </w:rPr>
    </w:pPr>
    <w:r>
      <w:rPr>
        <w:rFonts w:ascii="Palatino Linotype" w:eastAsia="Palatino Linotype" w:hAnsi="Palatino Linotype" w:cs="Palatino Linotype"/>
        <w:b/>
        <w:color w:val="000000"/>
        <w:sz w:val="14"/>
        <w:szCs w:val="14"/>
        <w:highlight w:val="white"/>
      </w:rPr>
      <w:tab/>
    </w:r>
    <w:r>
      <w:rPr>
        <w:rFonts w:ascii="Palatino Linotype" w:eastAsia="Palatino Linotype" w:hAnsi="Palatino Linotype" w:cs="Palatino Linotype"/>
        <w:b/>
        <w:color w:val="000000"/>
        <w:szCs w:val="16"/>
        <w:highlight w:val="white"/>
      </w:rPr>
      <w:t xml:space="preserve"> </w:t>
    </w:r>
    <w:r>
      <w:rPr>
        <w:noProof/>
        <w:lang w:val="en-US"/>
      </w:rPr>
      <mc:AlternateContent>
        <mc:Choice Requires="wps">
          <w:drawing>
            <wp:anchor distT="0" distB="0" distL="114300" distR="114300" simplePos="0" relativeHeight="251658240" behindDoc="0" locked="0" layoutInCell="1" hidden="0" allowOverlap="1" wp14:anchorId="08091E1B" wp14:editId="60D4B7B7">
              <wp:simplePos x="0" y="0"/>
              <wp:positionH relativeFrom="column">
                <wp:posOffset>1</wp:posOffset>
              </wp:positionH>
              <wp:positionV relativeFrom="paragraph">
                <wp:posOffset>50800</wp:posOffset>
              </wp:positionV>
              <wp:extent cx="0" cy="12700"/>
              <wp:effectExtent l="0" t="0" r="0" b="0"/>
              <wp:wrapNone/>
              <wp:docPr id="1821908887" name="Straight Arrow Connector 1821908887"/>
              <wp:cNvGraphicFramePr/>
              <a:graphic xmlns:a="http://schemas.openxmlformats.org/drawingml/2006/main">
                <a:graphicData uri="http://schemas.microsoft.com/office/word/2010/wordprocessingShape">
                  <wps:wsp>
                    <wps:cNvCnPr/>
                    <wps:spPr>
                      <a:xfrm>
                        <a:off x="2470720" y="3780000"/>
                        <a:ext cx="575056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AF506E" id="_x0000_t32" coordsize="21600,21600" o:spt="32" o:oned="t" path="m,l21600,21600e" filled="f">
              <v:path arrowok="t" fillok="f" o:connecttype="none"/>
              <o:lock v:ext="edit" shapetype="t"/>
            </v:shapetype>
            <v:shape id="Straight Arrow Connector 1821908887" o:spid="_x0000_s1026" type="#_x0000_t32" style="position:absolute;margin-left:0;margin-top:4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8w/9gEAAN0DAAAOAAAAZHJzL2Uyb0RvYy54bWysU9uO0zAQfUfiHyy/06SBbrJV0xVqWV4Q&#10;VFr4gFnbaSx809g07d8zdkt3gYeVEHlwfJk5PufMeHV3tIYdFEbtXc/ns5oz5YSX2u17/u3r/ZuO&#10;s5jASTDeqZ6fVOR369evVlNYqsaP3kiFjEBcXE6h52NKYVlVUYzKQpz5oBwdDh4tJFrivpIIE6Fb&#10;UzV1fVNNHmVAL1SMtLs9H/J1wR8GJdKXYYgqMdNz4pbKiGV8zGO1XsFyjxBGLS404B9YWNCOLr1C&#10;bSEB+4H6LyirBfrohzQT3lZ+GLRQRQOpmdd/qHkYIaiihcyJ4WpT/H+w4vNhh0xLql3XzG/rruta&#10;zhxYqtVDQtD7MbH3iH5iG+8c+emRPQsl/6YQlwSzcTu8rGLYYTbjOKDNf5LJjj1v3rV121AVTj1/&#10;23Y1fWf/1TExQQGLdlEvbihAUEQ5q55AAsb0UXnL8qTn8ULuympe/IfDp5iIBiX+SsgMnL/XxpRi&#10;G8cmUtu0dDsTQD03GEg0tYFciG5fcKI3WuacnF26UW0MsgNQH8nv88ybrvgtKt+3hTieg8rRWZ7V&#10;iXrcaNvzIvqielQgPzjJ0imQ2Y6eB8/MouXMKHpMNCmEE2jzchyxMY5I5Wqc/c+zRy9PpSxln3qo&#10;0L70e27S5+uS/fQq1z8BAAD//wMAUEsDBBQABgAIAAAAIQBIOEGY1gAAAAIBAAAPAAAAZHJzL2Rv&#10;d25yZXYueG1sTI9BT8MwDIXvSPyHyEjcWAJMaJSm0zSJA9wY085eY5pqjVM1WRf+PeYEF1vWe3r+&#10;Xr0uYVAzTamPbOF+YUARt9H13FnYf77erUCljOxwiEwWvinBurm+qrFy8cIfNO9ypySEU4UWfM5j&#10;pXVqPQVMizgSi/YVp4BZzqnTbsKLhIdBPxjzpAP2LB88jrT11J5252Bh6fv4WDbv+7clzaXdPh9O&#10;aT5Ye3tTNi+gMpX8Z4ZffEGHRpiO8cwuqcGCFMkWVrJElHkUizGgm1r/R29+AAAA//8DAFBLAQIt&#10;ABQABgAIAAAAIQC2gziS/gAAAOEBAAATAAAAAAAAAAAAAAAAAAAAAABbQ29udGVudF9UeXBlc10u&#10;eG1sUEsBAi0AFAAGAAgAAAAhADj9If/WAAAAlAEAAAsAAAAAAAAAAAAAAAAALwEAAF9yZWxzLy5y&#10;ZWxzUEsBAi0AFAAGAAgAAAAhAKubzD/2AQAA3QMAAA4AAAAAAAAAAAAAAAAALgIAAGRycy9lMm9E&#10;b2MueG1sUEsBAi0AFAAGAAgAAAAhAEg4QZjWAAAAAgEAAA8AAAAAAAAAAAAAAAAAUAQAAGRycy9k&#10;b3ducmV2LnhtbFBLBQYAAAAABAAEAPMAAABTBQAAAAA=&#10;" strokecolor="black [3200]" strokeweight="1pt">
              <v:stroke startarrowwidth="narrow" startarrowlength="short" endarrowwidth="narrow" endarrowlength="short" joinstyle="miter"/>
            </v:shape>
          </w:pict>
        </mc:Fallback>
      </mc:AlternateContent>
    </w:r>
  </w:p>
  <w:p w:rsidR="00C57F80" w:rsidRDefault="00C120EA">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i/>
        <w:color w:val="000000"/>
        <w:szCs w:val="16"/>
      </w:rPr>
    </w:pPr>
    <w:r>
      <w:rPr>
        <w:rFonts w:ascii="Cambria" w:eastAsia="Cambria" w:hAnsi="Cambria" w:cs="Cambria"/>
        <w:color w:val="000000"/>
        <w:sz w:val="14"/>
        <w:szCs w:val="14"/>
        <w:highlight w:val="white"/>
      </w:rPr>
      <w:tab/>
    </w:r>
    <w:r>
      <w:rPr>
        <w:rFonts w:ascii="Cambria" w:eastAsia="Cambria" w:hAnsi="Cambria" w:cs="Cambria"/>
        <w:color w:val="000000"/>
        <w:sz w:val="14"/>
        <w:szCs w:val="14"/>
        <w:highlight w:val="whit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F80" w:rsidRDefault="003965AC">
    <w:pPr>
      <w:pBdr>
        <w:top w:val="nil"/>
        <w:left w:val="nil"/>
        <w:bottom w:val="nil"/>
        <w:right w:val="nil"/>
        <w:between w:val="nil"/>
      </w:pBdr>
      <w:spacing w:line="276" w:lineRule="auto"/>
      <w:rPr>
        <w:rFonts w:ascii="Palatino Linotype" w:eastAsia="Palatino Linotype" w:hAnsi="Palatino Linotype" w:cs="Palatino Linotype"/>
        <w:i/>
        <w:color w:val="000000"/>
        <w:szCs w:val="16"/>
      </w:rPr>
    </w:pPr>
    <w:r>
      <w:rPr>
        <w:noProof/>
        <w:lang w:val="en-US"/>
      </w:rPr>
      <w:drawing>
        <wp:anchor distT="0" distB="0" distL="114300" distR="114300" simplePos="0" relativeHeight="251665408" behindDoc="0" locked="0" layoutInCell="1" allowOverlap="1" wp14:anchorId="1E7CE093" wp14:editId="37C0225F">
          <wp:simplePos x="0" y="0"/>
          <wp:positionH relativeFrom="column">
            <wp:posOffset>4795520</wp:posOffset>
          </wp:positionH>
          <wp:positionV relativeFrom="paragraph">
            <wp:posOffset>-255270</wp:posOffset>
          </wp:positionV>
          <wp:extent cx="914400" cy="914400"/>
          <wp:effectExtent l="0" t="0" r="0" b="0"/>
          <wp:wrapNone/>
          <wp:docPr id="2" name="Picture 2" descr="C:\Users\Administrator\Downloads\logo jcp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logo jcpa.jpe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2"/>
      <w:tblW w:w="9214" w:type="dxa"/>
      <w:jc w:val="center"/>
      <w:tblBorders>
        <w:bottom w:val="thickThinSmallGap" w:sz="24" w:space="0" w:color="auto"/>
      </w:tblBorders>
      <w:tblLayout w:type="fixed"/>
      <w:tblLook w:val="0400" w:firstRow="0" w:lastRow="0" w:firstColumn="0" w:lastColumn="0" w:noHBand="0" w:noVBand="1"/>
    </w:tblPr>
    <w:tblGrid>
      <w:gridCol w:w="2442"/>
      <w:gridCol w:w="4200"/>
      <w:gridCol w:w="2572"/>
    </w:tblGrid>
    <w:tr w:rsidR="00C57F80" w:rsidTr="007E3976">
      <w:trPr>
        <w:jc w:val="center"/>
      </w:trPr>
      <w:tc>
        <w:tcPr>
          <w:tcW w:w="2442" w:type="dxa"/>
        </w:tcPr>
        <w:p w:rsidR="001F7972" w:rsidRDefault="001F7972" w:rsidP="001F797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Volume </w:t>
          </w:r>
          <w:r>
            <w:rPr>
              <w:rFonts w:ascii="Palatino Linotype" w:eastAsia="Palatino Linotype" w:hAnsi="Palatino Linotype" w:cs="Palatino Linotype"/>
              <w:color w:val="000000"/>
              <w:sz w:val="18"/>
              <w:szCs w:val="18"/>
              <w:lang w:val="id-ID"/>
            </w:rPr>
            <w:t>4</w:t>
          </w:r>
          <w:r>
            <w:rPr>
              <w:rFonts w:ascii="Palatino Linotype" w:eastAsia="Palatino Linotype" w:hAnsi="Palatino Linotype" w:cs="Palatino Linotype"/>
              <w:color w:val="000000"/>
              <w:sz w:val="18"/>
              <w:szCs w:val="18"/>
            </w:rPr>
            <w:t xml:space="preserve"> Number </w:t>
          </w:r>
          <w:r>
            <w:rPr>
              <w:rFonts w:ascii="Palatino Linotype" w:eastAsia="Palatino Linotype" w:hAnsi="Palatino Linotype" w:cs="Palatino Linotype"/>
              <w:color w:val="000000"/>
              <w:sz w:val="18"/>
              <w:szCs w:val="18"/>
              <w:lang w:val="id-ID"/>
            </w:rPr>
            <w:t>2</w:t>
          </w:r>
          <w:r>
            <w:rPr>
              <w:rFonts w:ascii="Palatino Linotype" w:eastAsia="Palatino Linotype" w:hAnsi="Palatino Linotype" w:cs="Palatino Linotype"/>
              <w:color w:val="000000"/>
              <w:sz w:val="18"/>
              <w:szCs w:val="18"/>
            </w:rPr>
            <w:t xml:space="preserve"> (202</w:t>
          </w:r>
          <w:r>
            <w:rPr>
              <w:rFonts w:ascii="Palatino Linotype" w:eastAsia="Palatino Linotype" w:hAnsi="Palatino Linotype" w:cs="Palatino Linotype"/>
              <w:color w:val="000000"/>
              <w:sz w:val="18"/>
              <w:szCs w:val="18"/>
              <w:lang w:val="id-ID"/>
            </w:rPr>
            <w:t>6</w:t>
          </w:r>
          <w:r>
            <w:rPr>
              <w:rFonts w:ascii="Palatino Linotype" w:eastAsia="Palatino Linotype" w:hAnsi="Palatino Linotype" w:cs="Palatino Linotype"/>
              <w:color w:val="000000"/>
              <w:sz w:val="18"/>
              <w:szCs w:val="18"/>
            </w:rPr>
            <w:t>)</w:t>
          </w:r>
        </w:p>
        <w:p w:rsidR="001F7972" w:rsidRPr="00E24160" w:rsidRDefault="001F7972" w:rsidP="001F797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id-ID"/>
            </w:rPr>
          </w:pPr>
          <w:r w:rsidRPr="00E9474E">
            <w:rPr>
              <w:rFonts w:ascii="Palatino Linotype" w:eastAsia="Palatino Linotype" w:hAnsi="Palatino Linotype" w:cs="Palatino Linotype"/>
              <w:color w:val="000000"/>
              <w:sz w:val="18"/>
              <w:szCs w:val="18"/>
            </w:rPr>
            <w:t xml:space="preserve">July-December  </w:t>
          </w:r>
          <w:r>
            <w:rPr>
              <w:rFonts w:ascii="Palatino Linotype" w:eastAsia="Palatino Linotype" w:hAnsi="Palatino Linotype" w:cs="Palatino Linotype"/>
              <w:color w:val="000000"/>
              <w:sz w:val="18"/>
              <w:szCs w:val="18"/>
            </w:rPr>
            <w:t>202</w:t>
          </w:r>
          <w:r>
            <w:rPr>
              <w:rFonts w:ascii="Palatino Linotype" w:eastAsia="Palatino Linotype" w:hAnsi="Palatino Linotype" w:cs="Palatino Linotype"/>
              <w:color w:val="000000"/>
              <w:sz w:val="18"/>
              <w:szCs w:val="18"/>
              <w:lang w:val="id-ID"/>
            </w:rPr>
            <w:t>6</w:t>
          </w:r>
        </w:p>
        <w:p w:rsidR="00C57F80" w:rsidRPr="001F7972" w:rsidRDefault="00C120EA" w:rsidP="001F797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id-ID"/>
            </w:rPr>
          </w:pPr>
          <w:r>
            <w:rPr>
              <w:rFonts w:ascii="Palatino Linotype" w:eastAsia="Palatino Linotype" w:hAnsi="Palatino Linotype" w:cs="Palatino Linotype"/>
              <w:color w:val="000000"/>
              <w:sz w:val="18"/>
              <w:szCs w:val="18"/>
            </w:rPr>
            <w:t xml:space="preserve">Page: </w:t>
          </w:r>
          <w:r w:rsidR="001F7972">
            <w:rPr>
              <w:rFonts w:ascii="Palatino Linotype" w:eastAsia="Palatino Linotype" w:hAnsi="Palatino Linotype" w:cs="Palatino Linotype"/>
              <w:color w:val="000000"/>
              <w:sz w:val="18"/>
              <w:szCs w:val="18"/>
              <w:lang w:val="id-ID"/>
            </w:rPr>
            <w:t>585-601</w:t>
          </w:r>
          <w:bookmarkStart w:id="1" w:name="_GoBack"/>
          <w:bookmarkEnd w:id="1"/>
        </w:p>
      </w:tc>
      <w:tc>
        <w:tcPr>
          <w:tcW w:w="4200" w:type="dxa"/>
        </w:tcPr>
        <w:p w:rsidR="00C57F80" w:rsidRDefault="00C120EA" w:rsidP="000B75A9">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Journal of Creative Power and Ambition (JCPA)</w:t>
          </w:r>
        </w:p>
        <w:p w:rsidR="00C57F80" w:rsidRDefault="00596B88">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hyperlink r:id="rId2">
            <w:r w:rsidR="00C120EA">
              <w:rPr>
                <w:rFonts w:ascii="Palatino Linotype" w:eastAsia="Palatino Linotype" w:hAnsi="Palatino Linotype" w:cs="Palatino Linotype"/>
                <w:color w:val="000000"/>
                <w:sz w:val="18"/>
                <w:szCs w:val="18"/>
              </w:rPr>
              <w:t>https://edujavare.com/index.php/jcpa</w:t>
            </w:r>
          </w:hyperlink>
        </w:p>
        <w:p w:rsidR="00C57F80" w:rsidRDefault="00C120EA" w:rsidP="000B75A9">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id-ID"/>
            </w:rPr>
          </w:pPr>
          <w:r>
            <w:rPr>
              <w:rFonts w:ascii="Palatino Linotype" w:eastAsia="Palatino Linotype" w:hAnsi="Palatino Linotype" w:cs="Palatino Linotype"/>
              <w:color w:val="000000"/>
              <w:sz w:val="18"/>
              <w:szCs w:val="18"/>
            </w:rPr>
            <w:t>E-ISSN: 3031-4054</w:t>
          </w:r>
        </w:p>
        <w:p w:rsidR="00E24160" w:rsidRPr="00E24160" w:rsidRDefault="00E24160" w:rsidP="000B75A9">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id-ID"/>
            </w:rPr>
          </w:pPr>
          <w:r>
            <w:rPr>
              <w:rFonts w:ascii="Palatino Linotype" w:eastAsia="Palatino Linotype" w:hAnsi="Palatino Linotype" w:cs="Palatino Linotype"/>
              <w:color w:val="000000"/>
              <w:sz w:val="18"/>
              <w:szCs w:val="18"/>
              <w:lang w:val="id-ID"/>
            </w:rPr>
            <w:t xml:space="preserve">DOI: </w:t>
          </w:r>
        </w:p>
      </w:tc>
      <w:tc>
        <w:tcPr>
          <w:tcW w:w="2572" w:type="dxa"/>
        </w:tcPr>
        <w:p w:rsidR="00C57F80" w:rsidRDefault="00C57F80">
          <w:pPr>
            <w:spacing w:before="120" w:after="120" w:line="240" w:lineRule="auto"/>
            <w:ind w:right="6"/>
            <w:jc w:val="center"/>
            <w:rPr>
              <w:rFonts w:ascii="Lustria" w:eastAsia="Lustria" w:hAnsi="Lustria" w:cs="Lustria"/>
              <w:sz w:val="48"/>
              <w:szCs w:val="48"/>
            </w:rPr>
          </w:pPr>
        </w:p>
      </w:tc>
    </w:tr>
  </w:tbl>
  <w:p w:rsidR="00C57F80" w:rsidRDefault="00C57F80">
    <w:pPr>
      <w:widowControl/>
      <w:pBdr>
        <w:top w:val="nil"/>
        <w:left w:val="nil"/>
        <w:bottom w:val="nil"/>
        <w:right w:val="nil"/>
        <w:between w:val="nil"/>
      </w:pBdr>
      <w:spacing w:line="240" w:lineRule="auto"/>
      <w:rPr>
        <w:rFonts w:eastAsia="Times New Roman"/>
        <w:color w:val="0000FF"/>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37490"/>
    <w:multiLevelType w:val="multilevel"/>
    <w:tmpl w:val="27569BE4"/>
    <w:lvl w:ilvl="0">
      <w:start w:val="1"/>
      <w:numFmt w:val="decimal"/>
      <w:pStyle w:val="Alishlah21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F80"/>
    <w:rsid w:val="000B75A9"/>
    <w:rsid w:val="001F7972"/>
    <w:rsid w:val="00382527"/>
    <w:rsid w:val="003965AC"/>
    <w:rsid w:val="005846DB"/>
    <w:rsid w:val="00596B88"/>
    <w:rsid w:val="006A3F31"/>
    <w:rsid w:val="007E3976"/>
    <w:rsid w:val="008B3B10"/>
    <w:rsid w:val="00C120EA"/>
    <w:rsid w:val="00C57F80"/>
    <w:rsid w:val="00DA1675"/>
    <w:rsid w:val="00DA3996"/>
    <w:rsid w:val="00E24160"/>
    <w:rsid w:val="00F76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6"/>
        <w:szCs w:val="16"/>
        <w:lang w:val="en-ID" w:eastAsia="en-US"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spacing w:line="230" w:lineRule="exact"/>
    </w:pPr>
    <w:rPr>
      <w:rFonts w:eastAsia="SimSun"/>
      <w:szCs w:val="20"/>
      <w:lang w:val="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line="240" w:lineRule="auto"/>
    </w:pPr>
    <w:rPr>
      <w:rFonts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line="260" w:lineRule="atLeast"/>
      <w:ind w:firstLine="425"/>
      <w:jc w:val="both"/>
    </w:pPr>
    <w:rPr>
      <w:rFonts w:ascii="Palatino Linotype" w:hAnsi="Palatino Linotype"/>
      <w:snapToGrid w:val="0"/>
      <w:color w:val="000000"/>
      <w:sz w:val="20"/>
      <w:lang w:val="en-US" w:eastAsia="de-DE" w:bidi="en-US"/>
    </w:rPr>
  </w:style>
  <w:style w:type="paragraph" w:customStyle="1" w:styleId="Alishlah21heading1">
    <w:name w:val="Alishlah_2.1_heading1"/>
    <w:basedOn w:val="Normal"/>
    <w:qFormat/>
    <w:rsid w:val="00666B9E"/>
    <w:pPr>
      <w:widowControl/>
      <w:numPr>
        <w:numId w:val="1"/>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line="240" w:lineRule="auto"/>
    </w:pPr>
    <w:rPr>
      <w:rFonts w:ascii="Calibri"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tabs>
        <w:tab w:val="num" w:pos="720"/>
      </w:tabs>
      <w:ind w:left="720" w:hanging="720"/>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tabs>
        <w:tab w:val="num" w:pos="720"/>
      </w:tabs>
      <w:ind w:left="425" w:hanging="425"/>
    </w:pPr>
  </w:style>
  <w:style w:type="table" w:customStyle="1" w:styleId="TableGrid3">
    <w:name w:val="Table Grid3"/>
    <w:basedOn w:val="TableNormal"/>
    <w:next w:val="TableGrid"/>
    <w:uiPriority w:val="39"/>
    <w:qFormat/>
    <w:rsid w:val="004626A9"/>
    <w:pPr>
      <w:spacing w:line="240" w:lineRule="auto"/>
    </w:pPr>
    <w:rPr>
      <w:rFonts w:ascii="Calibri"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val="en-ID" w:eastAsia="en-ID"/>
    </w:rPr>
  </w:style>
  <w:style w:type="character" w:customStyle="1" w:styleId="UnresolvedMention2">
    <w:name w:val="Unresolved Mention2"/>
    <w:basedOn w:val="DefaultParagraphFont"/>
    <w:uiPriority w:val="99"/>
    <w:semiHidden/>
    <w:unhideWhenUsed/>
    <w:rsid w:val="00B50E2D"/>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6"/>
        <w:szCs w:val="16"/>
        <w:lang w:val="en-ID" w:eastAsia="en-US"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spacing w:line="230" w:lineRule="exact"/>
    </w:pPr>
    <w:rPr>
      <w:rFonts w:eastAsia="SimSun"/>
      <w:szCs w:val="20"/>
      <w:lang w:val="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line="240" w:lineRule="auto"/>
    </w:pPr>
    <w:rPr>
      <w:rFonts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line="260" w:lineRule="atLeast"/>
      <w:ind w:firstLine="425"/>
      <w:jc w:val="both"/>
    </w:pPr>
    <w:rPr>
      <w:rFonts w:ascii="Palatino Linotype" w:hAnsi="Palatino Linotype"/>
      <w:snapToGrid w:val="0"/>
      <w:color w:val="000000"/>
      <w:sz w:val="20"/>
      <w:lang w:val="en-US" w:eastAsia="de-DE" w:bidi="en-US"/>
    </w:rPr>
  </w:style>
  <w:style w:type="paragraph" w:customStyle="1" w:styleId="Alishlah21heading1">
    <w:name w:val="Alishlah_2.1_heading1"/>
    <w:basedOn w:val="Normal"/>
    <w:qFormat/>
    <w:rsid w:val="00666B9E"/>
    <w:pPr>
      <w:widowControl/>
      <w:numPr>
        <w:numId w:val="1"/>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line="240" w:lineRule="auto"/>
    </w:pPr>
    <w:rPr>
      <w:rFonts w:ascii="Calibri"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tabs>
        <w:tab w:val="num" w:pos="720"/>
      </w:tabs>
      <w:ind w:left="720" w:hanging="720"/>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tabs>
        <w:tab w:val="num" w:pos="720"/>
      </w:tabs>
      <w:ind w:left="425" w:hanging="425"/>
    </w:pPr>
  </w:style>
  <w:style w:type="table" w:customStyle="1" w:styleId="TableGrid3">
    <w:name w:val="Table Grid3"/>
    <w:basedOn w:val="TableNormal"/>
    <w:next w:val="TableGrid"/>
    <w:uiPriority w:val="39"/>
    <w:qFormat/>
    <w:rsid w:val="004626A9"/>
    <w:pPr>
      <w:spacing w:line="240" w:lineRule="auto"/>
    </w:pPr>
    <w:rPr>
      <w:rFonts w:ascii="Calibri"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val="en-ID" w:eastAsia="en-ID"/>
    </w:rPr>
  </w:style>
  <w:style w:type="character" w:customStyle="1" w:styleId="UnresolvedMention2">
    <w:name w:val="Unresolved Mention2"/>
    <w:basedOn w:val="DefaultParagraphFont"/>
    <w:uiPriority w:val="99"/>
    <w:semiHidden/>
    <w:unhideWhenUsed/>
    <w:rsid w:val="00B50E2D"/>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42637">
      <w:bodyDiv w:val="1"/>
      <w:marLeft w:val="0"/>
      <w:marRight w:val="0"/>
      <w:marTop w:val="0"/>
      <w:marBottom w:val="0"/>
      <w:divBdr>
        <w:top w:val="none" w:sz="0" w:space="0" w:color="auto"/>
        <w:left w:val="none" w:sz="0" w:space="0" w:color="auto"/>
        <w:bottom w:val="none" w:sz="0" w:space="0" w:color="auto"/>
        <w:right w:val="none" w:sz="0" w:space="0" w:color="auto"/>
      </w:divBdr>
    </w:div>
    <w:div w:id="1591809652">
      <w:bodyDiv w:val="1"/>
      <w:marLeft w:val="0"/>
      <w:marRight w:val="0"/>
      <w:marTop w:val="0"/>
      <w:marBottom w:val="0"/>
      <w:divBdr>
        <w:top w:val="none" w:sz="0" w:space="0" w:color="auto"/>
        <w:left w:val="none" w:sz="0" w:space="0" w:color="auto"/>
        <w:bottom w:val="none" w:sz="0" w:space="0" w:color="auto"/>
        <w:right w:val="none" w:sz="0" w:space="0" w:color="auto"/>
      </w:divBdr>
    </w:div>
    <w:div w:id="1870022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reativecommons.org/licenses/by-sa/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edujavare.com/index.php/jcpa"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Tk4EO31VDAR31y5gAe+CjqvtwQ==">CgMxLjAyCGguZ2pkZ3hzOAByITE3VTNRM0pYczFvb0dPa2lXdWUwbzhiYTVBQ09BbElndQ==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6087</Words>
  <Characters>34700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4</cp:revision>
  <dcterms:created xsi:type="dcterms:W3CDTF">2026-07-14T11:39:00Z</dcterms:created>
  <dcterms:modified xsi:type="dcterms:W3CDTF">2026-07-17T16:10:00Z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