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7CD8C" w14:textId="77777777" w:rsidR="00A36355" w:rsidRPr="00A36355" w:rsidRDefault="00000000" w:rsidP="004B42CB">
      <w:pPr>
        <w:widowControl/>
        <w:adjustRightInd w:val="0"/>
        <w:snapToGrid w:val="0"/>
        <w:spacing w:before="600" w:after="240" w:line="240" w:lineRule="auto"/>
        <w:rPr>
          <w:rFonts w:ascii="Palatino Linotype" w:eastAsia="Times New Roman" w:hAnsi="Palatino Linotype"/>
          <w:b/>
          <w:snapToGrid w:val="0"/>
          <w:color w:val="000000"/>
          <w:sz w:val="28"/>
          <w:szCs w:val="28"/>
          <w:lang w:eastAsia="de-DE" w:bidi="en-US"/>
        </w:rPr>
      </w:pPr>
      <w:bookmarkStart w:id="0" w:name="_Hlk178620564"/>
      <w:r w:rsidRPr="000713FB">
        <w:rPr>
          <w:rFonts w:ascii="Palatino Linotype" w:eastAsia="Times New Roman" w:hAnsi="Palatino Linotype"/>
          <w:b/>
          <w:snapToGrid w:val="0"/>
          <w:color w:val="000000"/>
          <w:sz w:val="28"/>
          <w:szCs w:val="28"/>
          <w:lang w:eastAsia="de-DE" w:bidi="en-US"/>
        </w:rPr>
        <w:t>Evaluation of Governance, Risk Management, and Compliance (GRC) Policies in Supporting Sustainability and Corporate Social Responsibility</w:t>
      </w:r>
    </w:p>
    <w:bookmarkEnd w:id="0"/>
    <w:p w14:paraId="50E52DEE" w14:textId="77777777" w:rsidR="009058AC" w:rsidRPr="009058AC" w:rsidRDefault="00000000" w:rsidP="009058AC">
      <w:pPr>
        <w:pStyle w:val="Alishlah16affiliation"/>
        <w:rPr>
          <w:b/>
          <w:sz w:val="20"/>
          <w:szCs w:val="22"/>
          <w:lang w:val="id-ID"/>
        </w:rPr>
      </w:pPr>
      <w:r w:rsidRPr="009058AC">
        <w:rPr>
          <w:b/>
          <w:sz w:val="20"/>
          <w:szCs w:val="22"/>
        </w:rPr>
        <w:t>Loso Judijanto</w:t>
      </w:r>
      <w:r w:rsidRPr="009058AC">
        <w:rPr>
          <w:b/>
          <w:sz w:val="20"/>
          <w:szCs w:val="22"/>
          <w:vertAlign w:val="superscript"/>
        </w:rPr>
        <w:t>1</w:t>
      </w:r>
    </w:p>
    <w:p w14:paraId="031FD48A" w14:textId="77777777" w:rsidR="009058AC" w:rsidRPr="009058AC" w:rsidRDefault="00000000" w:rsidP="009058AC">
      <w:pPr>
        <w:pStyle w:val="Alishlah16affiliation"/>
        <w:rPr>
          <w:bCs/>
          <w:sz w:val="20"/>
          <w:szCs w:val="22"/>
        </w:rPr>
      </w:pPr>
      <w:r w:rsidRPr="009058AC">
        <w:rPr>
          <w:bCs/>
          <w:sz w:val="20"/>
          <w:szCs w:val="22"/>
          <w:vertAlign w:val="superscript"/>
        </w:rPr>
        <w:t xml:space="preserve">1) </w:t>
      </w:r>
      <w:r w:rsidRPr="009058AC">
        <w:rPr>
          <w:bCs/>
          <w:sz w:val="20"/>
          <w:szCs w:val="22"/>
        </w:rPr>
        <w:t xml:space="preserve">IPOSS </w:t>
      </w:r>
      <w:r w:rsidRPr="009058AC">
        <w:rPr>
          <w:bCs/>
          <w:sz w:val="20"/>
          <w:szCs w:val="22"/>
          <w:lang w:val="en-ID"/>
        </w:rPr>
        <w:t>Jakarta</w:t>
      </w:r>
      <w:r w:rsidRPr="009058AC">
        <w:rPr>
          <w:bCs/>
          <w:sz w:val="20"/>
          <w:szCs w:val="22"/>
        </w:rPr>
        <w:t>, Indonesia; losojudijantobumn@gmail.com</w:t>
      </w: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74C34" w14:paraId="4B472575" w14:textId="77777777" w:rsidTr="00B81A7E">
        <w:tc>
          <w:tcPr>
            <w:tcW w:w="9072" w:type="dxa"/>
          </w:tcPr>
          <w:p w14:paraId="772953C6" w14:textId="77777777" w:rsidR="00A36355" w:rsidRDefault="00A36355"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p w14:paraId="077FC221" w14:textId="77777777" w:rsidR="00944E76" w:rsidRPr="00A36355" w:rsidRDefault="00944E76"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674C34" w14:paraId="17B12D5F" w14:textId="77777777" w:rsidTr="00561A2C">
        <w:trPr>
          <w:trHeight w:val="368"/>
          <w:jc w:val="center"/>
        </w:trPr>
        <w:tc>
          <w:tcPr>
            <w:tcW w:w="1832" w:type="dxa"/>
            <w:tcBorders>
              <w:top w:val="nil"/>
              <w:left w:val="nil"/>
              <w:bottom w:val="single" w:sz="4" w:space="0" w:color="auto"/>
              <w:right w:val="nil"/>
            </w:tcBorders>
            <w:shd w:val="clear" w:color="auto" w:fill="auto"/>
          </w:tcPr>
          <w:p w14:paraId="0374DF8F" w14:textId="77777777" w:rsidR="00944E76" w:rsidRPr="003C3142" w:rsidRDefault="00000000" w:rsidP="00E82DAA">
            <w:pPr>
              <w:pStyle w:val="Header"/>
              <w:rPr>
                <w:rFonts w:ascii="Palatino Linotype" w:hAnsi="Palatino Linotype"/>
                <w:b/>
                <w:bCs/>
                <w:sz w:val="20"/>
              </w:rPr>
            </w:pPr>
            <w:r w:rsidRPr="003C3142">
              <w:rPr>
                <w:rFonts w:ascii="Palatino Linotype" w:hAnsi="Palatino Linotype"/>
                <w:b/>
                <w:bCs/>
                <w:sz w:val="20"/>
              </w:rPr>
              <w:t>Article history</w:t>
            </w:r>
          </w:p>
        </w:tc>
        <w:tc>
          <w:tcPr>
            <w:tcW w:w="280" w:type="dxa"/>
            <w:tcBorders>
              <w:top w:val="nil"/>
              <w:left w:val="nil"/>
              <w:bottom w:val="nil"/>
              <w:right w:val="nil"/>
            </w:tcBorders>
            <w:shd w:val="clear" w:color="auto" w:fill="auto"/>
          </w:tcPr>
          <w:p w14:paraId="35B13390" w14:textId="77777777" w:rsidR="00944E76"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shd w:val="clear" w:color="auto" w:fill="auto"/>
          </w:tcPr>
          <w:p w14:paraId="6A13E125" w14:textId="50247ED5" w:rsidR="00944E76" w:rsidRDefault="00000000" w:rsidP="00873B0C">
            <w:pPr>
              <w:widowControl/>
              <w:tabs>
                <w:tab w:val="left" w:pos="2442"/>
                <w:tab w:val="left" w:pos="4549"/>
              </w:tabs>
              <w:spacing w:line="240" w:lineRule="auto"/>
              <w:jc w:val="both"/>
              <w:rPr>
                <w:rFonts w:ascii="Palatino Linotype" w:hAnsi="Palatino Linotype"/>
                <w:sz w:val="20"/>
              </w:rPr>
            </w:pPr>
            <w:r w:rsidRPr="00D02605">
              <w:rPr>
                <w:rFonts w:ascii="Palatino Linotype" w:hAnsi="Palatino Linotype"/>
                <w:sz w:val="20"/>
              </w:rPr>
              <w:t>Submitted</w:t>
            </w:r>
            <w:r>
              <w:rPr>
                <w:rFonts w:ascii="Palatino Linotype" w:hAnsi="Palatino Linotype"/>
                <w:sz w:val="20"/>
              </w:rPr>
              <w:t>:</w:t>
            </w:r>
            <w:r w:rsidRPr="00D02605">
              <w:rPr>
                <w:rFonts w:ascii="Palatino Linotype" w:hAnsi="Palatino Linotype"/>
                <w:sz w:val="20"/>
              </w:rPr>
              <w:t xml:space="preserve"> </w:t>
            </w:r>
            <w:r w:rsidR="009058AC">
              <w:rPr>
                <w:rFonts w:ascii="Palatino Linotype" w:hAnsi="Palatino Linotype"/>
                <w:sz w:val="20"/>
              </w:rPr>
              <w:t>2023</w:t>
            </w:r>
            <w:r w:rsidRPr="00D02605">
              <w:rPr>
                <w:rFonts w:ascii="Palatino Linotype" w:hAnsi="Palatino Linotype"/>
                <w:sz w:val="20"/>
              </w:rPr>
              <w:t>/</w:t>
            </w:r>
            <w:r w:rsidR="009058AC">
              <w:rPr>
                <w:rFonts w:ascii="Palatino Linotype" w:hAnsi="Palatino Linotype"/>
                <w:sz w:val="20"/>
              </w:rPr>
              <w:t>0</w:t>
            </w:r>
            <w:r w:rsidR="00435074">
              <w:rPr>
                <w:rFonts w:ascii="Palatino Linotype" w:hAnsi="Palatino Linotype"/>
                <w:sz w:val="20"/>
              </w:rPr>
              <w:t>7</w:t>
            </w:r>
            <w:r w:rsidRPr="00D02605">
              <w:rPr>
                <w:rFonts w:ascii="Palatino Linotype" w:hAnsi="Palatino Linotype"/>
                <w:sz w:val="20"/>
              </w:rPr>
              <w:t>/</w:t>
            </w:r>
            <w:r w:rsidR="009058AC">
              <w:rPr>
                <w:rFonts w:ascii="Palatino Linotype" w:hAnsi="Palatino Linotype"/>
                <w:sz w:val="20"/>
              </w:rPr>
              <w:t>14</w:t>
            </w:r>
            <w:r>
              <w:rPr>
                <w:rFonts w:ascii="Palatino Linotype" w:hAnsi="Palatino Linotype"/>
                <w:sz w:val="20"/>
              </w:rPr>
              <w:t>;</w:t>
            </w:r>
            <w:r w:rsidRPr="00D02605">
              <w:rPr>
                <w:rFonts w:ascii="Palatino Linotype" w:hAnsi="Palatino Linotype"/>
                <w:sz w:val="20"/>
              </w:rPr>
              <w:tab/>
              <w:t>Revised</w:t>
            </w:r>
            <w:r>
              <w:rPr>
                <w:rFonts w:ascii="Palatino Linotype" w:hAnsi="Palatino Linotype"/>
                <w:sz w:val="20"/>
              </w:rPr>
              <w:t>:</w:t>
            </w:r>
            <w:r w:rsidRPr="00D02605">
              <w:rPr>
                <w:rFonts w:ascii="Palatino Linotype" w:hAnsi="Palatino Linotype"/>
                <w:sz w:val="20"/>
              </w:rPr>
              <w:t xml:space="preserve"> </w:t>
            </w:r>
            <w:r w:rsidR="00435074">
              <w:rPr>
                <w:rFonts w:ascii="Palatino Linotype" w:hAnsi="Palatino Linotype"/>
                <w:sz w:val="20"/>
              </w:rPr>
              <w:t>2023</w:t>
            </w:r>
            <w:r w:rsidR="00873B0C" w:rsidRPr="00D02605">
              <w:rPr>
                <w:rFonts w:ascii="Palatino Linotype" w:hAnsi="Palatino Linotype"/>
                <w:sz w:val="20"/>
              </w:rPr>
              <w:t>/</w:t>
            </w:r>
            <w:r w:rsidR="00435074">
              <w:rPr>
                <w:rFonts w:ascii="Palatino Linotype" w:hAnsi="Palatino Linotype"/>
                <w:sz w:val="20"/>
              </w:rPr>
              <w:t>09</w:t>
            </w:r>
            <w:r w:rsidR="00873B0C" w:rsidRPr="00D02605">
              <w:rPr>
                <w:rFonts w:ascii="Palatino Linotype" w:hAnsi="Palatino Linotype"/>
                <w:sz w:val="20"/>
              </w:rPr>
              <w:t>/</w:t>
            </w:r>
            <w:r w:rsidR="00435074">
              <w:rPr>
                <w:rFonts w:ascii="Palatino Linotype" w:hAnsi="Palatino Linotype"/>
                <w:sz w:val="20"/>
              </w:rPr>
              <w:t>18</w:t>
            </w:r>
            <w:r>
              <w:rPr>
                <w:rFonts w:ascii="Palatino Linotype" w:hAnsi="Palatino Linotype"/>
                <w:sz w:val="20"/>
              </w:rPr>
              <w:t>;</w:t>
            </w:r>
            <w:r w:rsidRPr="00D02605">
              <w:rPr>
                <w:rFonts w:ascii="Palatino Linotype" w:hAnsi="Palatino Linotype"/>
                <w:sz w:val="20"/>
              </w:rPr>
              <w:tab/>
              <w:t>Accepted</w:t>
            </w:r>
            <w:r>
              <w:rPr>
                <w:rFonts w:ascii="Palatino Linotype" w:hAnsi="Palatino Linotype"/>
                <w:sz w:val="20"/>
              </w:rPr>
              <w:t>:</w:t>
            </w:r>
            <w:r w:rsidRPr="00D02605">
              <w:rPr>
                <w:rFonts w:ascii="Palatino Linotype" w:hAnsi="Palatino Linotype"/>
                <w:sz w:val="20"/>
              </w:rPr>
              <w:t xml:space="preserve"> </w:t>
            </w:r>
            <w:r w:rsidR="00435074">
              <w:rPr>
                <w:rFonts w:ascii="Palatino Linotype" w:hAnsi="Palatino Linotype"/>
                <w:sz w:val="20"/>
              </w:rPr>
              <w:t>2023</w:t>
            </w:r>
            <w:r w:rsidRPr="00D02605">
              <w:rPr>
                <w:rFonts w:ascii="Palatino Linotype" w:hAnsi="Palatino Linotype"/>
                <w:sz w:val="20"/>
              </w:rPr>
              <w:t>/</w:t>
            </w:r>
            <w:r w:rsidR="00435074">
              <w:rPr>
                <w:rFonts w:ascii="Palatino Linotype" w:hAnsi="Palatino Linotype"/>
                <w:sz w:val="20"/>
              </w:rPr>
              <w:t>10</w:t>
            </w:r>
            <w:r w:rsidRPr="00D02605">
              <w:rPr>
                <w:rFonts w:ascii="Palatino Linotype" w:hAnsi="Palatino Linotype"/>
                <w:sz w:val="20"/>
              </w:rPr>
              <w:t>/</w:t>
            </w:r>
            <w:r w:rsidR="00435074">
              <w:rPr>
                <w:rFonts w:ascii="Palatino Linotype" w:hAnsi="Palatino Linotype"/>
                <w:sz w:val="20"/>
              </w:rPr>
              <w:t>17</w:t>
            </w:r>
          </w:p>
        </w:tc>
      </w:tr>
      <w:tr w:rsidR="00674C34" w14:paraId="79298773" w14:textId="77777777" w:rsidTr="00561A2C">
        <w:trPr>
          <w:trHeight w:val="2686"/>
          <w:jc w:val="center"/>
        </w:trPr>
        <w:tc>
          <w:tcPr>
            <w:tcW w:w="1832" w:type="dxa"/>
            <w:tcBorders>
              <w:top w:val="single" w:sz="4" w:space="0" w:color="auto"/>
              <w:left w:val="nil"/>
              <w:bottom w:val="single" w:sz="4" w:space="0" w:color="auto"/>
              <w:right w:val="nil"/>
            </w:tcBorders>
            <w:shd w:val="clear" w:color="auto" w:fill="auto"/>
          </w:tcPr>
          <w:p w14:paraId="032662B1" w14:textId="77777777" w:rsidR="00A36355" w:rsidRPr="00A36355" w:rsidRDefault="00000000" w:rsidP="00A36355">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r w:rsidRPr="00A36355">
              <w:rPr>
                <w:rFonts w:ascii="Palatino Linotype" w:eastAsia="Times New Roman" w:hAnsi="Palatino Linotype"/>
                <w:b/>
                <w:bCs/>
                <w:iCs/>
                <w:snapToGrid w:val="0"/>
                <w:color w:val="000000"/>
                <w:sz w:val="20"/>
                <w:lang w:val="en-US" w:eastAsia="de-DE" w:bidi="en-US"/>
              </w:rPr>
              <w:t>Abstract</w:t>
            </w:r>
          </w:p>
          <w:p w14:paraId="72A4D738"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38E18505"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3EB8DD2B"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550997FB"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6C185E75"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tc>
        <w:tc>
          <w:tcPr>
            <w:tcW w:w="280" w:type="dxa"/>
            <w:tcBorders>
              <w:top w:val="nil"/>
              <w:left w:val="nil"/>
              <w:bottom w:val="nil"/>
              <w:right w:val="nil"/>
            </w:tcBorders>
            <w:shd w:val="clear" w:color="auto" w:fill="auto"/>
          </w:tcPr>
          <w:p w14:paraId="7DECAC61" w14:textId="77777777" w:rsidR="00A36355" w:rsidRPr="00A36355" w:rsidRDefault="00A36355" w:rsidP="00A36355">
            <w:pPr>
              <w:widowControl/>
              <w:spacing w:before="120" w:line="240" w:lineRule="auto"/>
              <w:jc w:val="both"/>
              <w:rPr>
                <w:rFonts w:ascii="Palatino Linotype" w:eastAsia="Times New Roman" w:hAnsi="Palatino Linotype" w:cs="Arial"/>
                <w:sz w:val="18"/>
                <w:szCs w:val="18"/>
                <w:lang w:val="en-US"/>
              </w:rPr>
            </w:pPr>
          </w:p>
        </w:tc>
        <w:tc>
          <w:tcPr>
            <w:tcW w:w="7053" w:type="dxa"/>
            <w:tcBorders>
              <w:top w:val="single" w:sz="4" w:space="0" w:color="auto"/>
              <w:left w:val="nil"/>
              <w:right w:val="nil"/>
            </w:tcBorders>
            <w:shd w:val="clear" w:color="auto" w:fill="auto"/>
          </w:tcPr>
          <w:p w14:paraId="7B9E0B6E" w14:textId="77777777" w:rsidR="00A36355" w:rsidRPr="006A7AB2" w:rsidRDefault="00000000" w:rsidP="00B211D0">
            <w:pPr>
              <w:widowControl/>
              <w:spacing w:line="240" w:lineRule="auto"/>
              <w:ind w:right="-12"/>
              <w:jc w:val="both"/>
              <w:rPr>
                <w:rFonts w:ascii="Palatino Linotype" w:eastAsia="Times New Roman" w:hAnsi="Palatino Linotype"/>
                <w:color w:val="000000"/>
                <w:sz w:val="20"/>
                <w:lang w:val="en-US" w:eastAsia="de-DE" w:bidi="en-US"/>
              </w:rPr>
            </w:pPr>
            <w:r w:rsidRPr="00E21901">
              <w:rPr>
                <w:rFonts w:ascii="Palatino Linotype" w:eastAsia="Times New Roman" w:hAnsi="Palatino Linotype"/>
                <w:color w:val="000000"/>
                <w:sz w:val="20"/>
                <w:lang w:val="en-US" w:eastAsia="de-DE" w:bidi="en-US"/>
              </w:rPr>
              <w:t>In an era of increasing scrutiny on corporate behavior, the integration of Governance, Risk Management, and Compliance (GRC) policies has become essential for organizations striving to achieve sustainability and corporate social responsibility (CSR). This research aims to evaluate the effectiveness of GRC policies in supporting sustainability and CSR initiatives across various industries. Employing a mixed-methods approach, the study combines quantitative analysis through surveys administered to diverse organizations and qualitative insights from interviews with key stakeholders in GRC, sustainability, and CSR roles. The findings indicate a significant correlation between well-structured GRC frameworks and enhanced sustainability outcomes, with organizations reporting a 30% increase in achieving sustainability targets. Additionally, qualitative data revealed that effective governance fosters accountability, proactive risk management mitigates environmental and social risks, and compliance cultivates stakeholder trust. The research concludes that organizations prioritizing and integrating GRC practices are better equipped to navigate sustainability challenges and improve their CSR efforts. The study contributes to the existing literature by providing empirical evidence linking GRC policies to sustainable practices. It emphasizes the need to adapt these frameworks to meet evolving societal expectations. These insights offer valuable guidance for practitioners seeking to enhance their organizational strategies and promote responsible business conduct.</w:t>
            </w:r>
          </w:p>
        </w:tc>
      </w:tr>
      <w:tr w:rsidR="00674C34" w14:paraId="569C74BF"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493E36CB" w14:textId="77777777" w:rsidR="00A36355" w:rsidRPr="00A36355" w:rsidRDefault="00000000" w:rsidP="00A36355">
            <w:pPr>
              <w:widowControl/>
              <w:spacing w:line="240" w:lineRule="auto"/>
              <w:jc w:val="both"/>
              <w:rPr>
                <w:rFonts w:ascii="Palatino Linotype" w:eastAsia="Times New Roman" w:hAnsi="Palatino Linotype" w:cs="Arial"/>
                <w:b/>
                <w:bCs/>
                <w:i/>
                <w:sz w:val="20"/>
                <w:lang w:val="en-US"/>
              </w:rPr>
            </w:pPr>
            <w:r w:rsidRPr="00A36355">
              <w:rPr>
                <w:rFonts w:ascii="Palatino Linotype" w:hAnsi="Palatino Linotype" w:cs="Arial"/>
                <w:b/>
                <w:bCs/>
                <w:sz w:val="20"/>
                <w:lang w:val="en-ID"/>
              </w:rPr>
              <w:t>Keywords</w:t>
            </w:r>
          </w:p>
        </w:tc>
        <w:tc>
          <w:tcPr>
            <w:tcW w:w="280" w:type="dxa"/>
            <w:tcBorders>
              <w:top w:val="nil"/>
              <w:left w:val="nil"/>
              <w:bottom w:val="nil"/>
              <w:right w:val="nil"/>
            </w:tcBorders>
            <w:shd w:val="clear" w:color="auto" w:fill="auto"/>
          </w:tcPr>
          <w:p w14:paraId="72C8F8DD" w14:textId="77777777" w:rsidR="00A36355" w:rsidRPr="00A36355"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shd w:val="clear" w:color="auto" w:fill="auto"/>
          </w:tcPr>
          <w:p w14:paraId="23001E70" w14:textId="77777777" w:rsidR="00A36355" w:rsidRPr="003C3142" w:rsidRDefault="00000000" w:rsidP="009058AC">
            <w:pPr>
              <w:widowControl/>
              <w:spacing w:after="60" w:line="240" w:lineRule="auto"/>
              <w:ind w:right="-12"/>
              <w:jc w:val="both"/>
              <w:rPr>
                <w:rFonts w:ascii="Palatino Linotype" w:hAnsi="Palatino Linotype"/>
                <w:sz w:val="20"/>
              </w:rPr>
            </w:pPr>
            <w:r w:rsidRPr="00CD6477">
              <w:rPr>
                <w:rFonts w:ascii="Palatino Linotype" w:hAnsi="Palatino Linotype"/>
                <w:sz w:val="20"/>
                <w:lang w:bidi="en-US"/>
              </w:rPr>
              <w:t>Corporate Social Responsibility</w:t>
            </w:r>
            <w:r>
              <w:rPr>
                <w:rFonts w:ascii="Palatino Linotype" w:hAnsi="Palatino Linotype"/>
                <w:sz w:val="20"/>
                <w:lang w:bidi="en-US"/>
              </w:rPr>
              <w:t xml:space="preserve">; </w:t>
            </w:r>
            <w:r w:rsidRPr="00CD6477">
              <w:rPr>
                <w:rFonts w:ascii="Palatino Linotype" w:hAnsi="Palatino Linotype"/>
                <w:sz w:val="20"/>
                <w:lang w:bidi="en-US"/>
              </w:rPr>
              <w:t>Evaluation</w:t>
            </w:r>
            <w:r w:rsidR="00CC090A">
              <w:rPr>
                <w:rFonts w:ascii="Palatino Linotype" w:hAnsi="Palatino Linotype"/>
                <w:sz w:val="20"/>
                <w:lang w:bidi="en-US"/>
              </w:rPr>
              <w:t>;</w:t>
            </w:r>
            <w:r>
              <w:t xml:space="preserve"> </w:t>
            </w:r>
            <w:r w:rsidRPr="00CD6477">
              <w:rPr>
                <w:rFonts w:ascii="Palatino Linotype" w:hAnsi="Palatino Linotype"/>
                <w:sz w:val="20"/>
                <w:lang w:bidi="en-US"/>
              </w:rPr>
              <w:t>GRC</w:t>
            </w:r>
            <w:r w:rsidR="009058AC" w:rsidRPr="009058AC">
              <w:rPr>
                <w:rFonts w:ascii="Palatino Linotype" w:hAnsi="Palatino Linotype"/>
                <w:sz w:val="20"/>
                <w:lang w:bidi="en-US"/>
              </w:rPr>
              <w:t>.</w:t>
            </w:r>
          </w:p>
        </w:tc>
      </w:tr>
      <w:tr w:rsidR="00674C34" w14:paraId="778FFC7F"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4B3796DB" w14:textId="77777777" w:rsidR="006A7AB2" w:rsidRPr="00A36355" w:rsidRDefault="00000000" w:rsidP="00773150">
            <w:pPr>
              <w:widowControl/>
              <w:spacing w:line="240" w:lineRule="auto"/>
              <w:rPr>
                <w:rFonts w:ascii="Palatino Linotype" w:hAnsi="Palatino Linotype" w:cs="Arial"/>
                <w:b/>
                <w:bCs/>
                <w:sz w:val="20"/>
                <w:lang w:val="en-ID"/>
              </w:rPr>
            </w:pPr>
            <w:r>
              <w:rPr>
                <w:noProof/>
              </w:rPr>
              <w:drawing>
                <wp:inline distT="0" distB="0" distL="0" distR="0" wp14:anchorId="59A77C5A" wp14:editId="095A7293">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Creative Commons Licens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shd w:val="clear" w:color="auto" w:fill="auto"/>
          </w:tcPr>
          <w:p w14:paraId="2EA336BC" w14:textId="77777777" w:rsidR="006A7AB2" w:rsidRPr="00A36355" w:rsidRDefault="006A7AB2" w:rsidP="00A36355">
            <w:pPr>
              <w:widowControl/>
              <w:spacing w:line="240" w:lineRule="auto"/>
              <w:jc w:val="both"/>
              <w:rPr>
                <w:rFonts w:ascii="Palatino Linotype" w:eastAsia="Times New Roman" w:hAnsi="Palatino Linotype" w:cs="Arial"/>
                <w:sz w:val="20"/>
                <w:lang w:val="en-US"/>
              </w:rPr>
            </w:pPr>
          </w:p>
        </w:tc>
        <w:tc>
          <w:tcPr>
            <w:tcW w:w="7053" w:type="dxa"/>
            <w:tcBorders>
              <w:top w:val="single" w:sz="4" w:space="0" w:color="auto"/>
              <w:left w:val="nil"/>
              <w:bottom w:val="single" w:sz="4" w:space="0" w:color="auto"/>
              <w:right w:val="nil"/>
            </w:tcBorders>
            <w:shd w:val="clear" w:color="auto" w:fill="auto"/>
          </w:tcPr>
          <w:p w14:paraId="4677A8B5" w14:textId="77777777" w:rsidR="006A7AB2" w:rsidRDefault="00000000" w:rsidP="003C3142">
            <w:pPr>
              <w:spacing w:line="240" w:lineRule="auto"/>
              <w:ind w:right="-108"/>
              <w:jc w:val="both"/>
              <w:rPr>
                <w:rFonts w:ascii="Palatino Linotype" w:hAnsi="Palatino Linotype"/>
                <w:sz w:val="20"/>
              </w:rPr>
            </w:pPr>
            <w:r>
              <w:rPr>
                <w:rFonts w:ascii="Cambria" w:hAnsi="Cambria" w:cs="Calibri"/>
                <w:b/>
                <w:szCs w:val="16"/>
                <w:lang w:eastAsia="id-ID"/>
              </w:rPr>
              <w:t>©</w:t>
            </w:r>
            <w:r>
              <w:rPr>
                <w:rFonts w:ascii="Cambria" w:hAnsi="Cambria" w:cs="Calibri"/>
                <w:b/>
                <w:spacing w:val="36"/>
                <w:szCs w:val="16"/>
                <w:lang w:eastAsia="id-ID"/>
              </w:rPr>
              <w:t xml:space="preserve"> </w:t>
            </w:r>
            <w:r w:rsidR="009058AC">
              <w:rPr>
                <w:rFonts w:ascii="Palatino Linotype" w:hAnsi="Palatino Linotype" w:cs="Calibri"/>
                <w:b/>
                <w:spacing w:val="-1"/>
                <w:szCs w:val="16"/>
                <w:lang w:eastAsia="id-ID"/>
              </w:rPr>
              <w:t>2023</w:t>
            </w:r>
            <w:r>
              <w:rPr>
                <w:rFonts w:ascii="Palatino Linotype" w:hAnsi="Palatino Linotype" w:cs="Calibri"/>
                <w:b/>
                <w:spacing w:val="36"/>
                <w:szCs w:val="16"/>
                <w:lang w:val="en-US" w:eastAsia="id-ID"/>
              </w:rPr>
              <w:t xml:space="preserve"> </w:t>
            </w:r>
            <w:r>
              <w:rPr>
                <w:rFonts w:ascii="Palatino Linotype" w:hAnsi="Palatino Linotype" w:cs="Calibri"/>
                <w:b/>
                <w:spacing w:val="-1"/>
                <w:szCs w:val="16"/>
                <w:lang w:eastAsia="id-ID"/>
              </w:rPr>
              <w:t>by</w:t>
            </w:r>
            <w:r>
              <w:rPr>
                <w:rFonts w:ascii="Palatino Linotype" w:hAnsi="Palatino Linotype" w:cs="Calibri"/>
                <w:b/>
                <w:spacing w:val="34"/>
                <w:szCs w:val="16"/>
                <w:lang w:eastAsia="id-ID"/>
              </w:rPr>
              <w:t xml:space="preserve"> </w:t>
            </w:r>
            <w:r>
              <w:rPr>
                <w:rFonts w:ascii="Palatino Linotype" w:hAnsi="Palatino Linotype" w:cs="Calibri"/>
                <w:b/>
                <w:szCs w:val="16"/>
                <w:lang w:eastAsia="id-ID"/>
              </w:rPr>
              <w:t>the</w:t>
            </w:r>
            <w:r>
              <w:rPr>
                <w:rFonts w:ascii="Palatino Linotype" w:hAnsi="Palatino Linotype" w:cs="Calibri"/>
                <w:b/>
                <w:spacing w:val="35"/>
                <w:szCs w:val="16"/>
                <w:lang w:eastAsia="id-ID"/>
              </w:rPr>
              <w:t xml:space="preserve"> </w:t>
            </w:r>
            <w:r>
              <w:rPr>
                <w:rFonts w:ascii="Palatino Linotype" w:hAnsi="Palatino Linotype" w:cs="Calibri"/>
                <w:b/>
                <w:szCs w:val="16"/>
                <w:lang w:eastAsia="id-ID"/>
              </w:rPr>
              <w:t>authors</w:t>
            </w:r>
            <w:r>
              <w:rPr>
                <w:rFonts w:ascii="Palatino Linotype" w:hAnsi="Palatino Linotype" w:cs="Calibri"/>
                <w:szCs w:val="16"/>
                <w:lang w:eastAsia="id-ID"/>
              </w:rPr>
              <w:t>.</w:t>
            </w:r>
            <w:r>
              <w:rPr>
                <w:rFonts w:ascii="Palatino Linotype" w:hAnsi="Palatino Linotype" w:cs="Calibri"/>
                <w:spacing w:val="29"/>
                <w:szCs w:val="16"/>
                <w:lang w:eastAsia="id-ID"/>
              </w:rPr>
              <w:t xml:space="preserve"> </w:t>
            </w:r>
            <w:r w:rsidR="002443C2">
              <w:rPr>
                <w:rFonts w:ascii="Palatino Linotype" w:hAnsi="Palatino Linotype" w:cs="Calibri"/>
                <w:spacing w:val="-1"/>
                <w:szCs w:val="16"/>
                <w:lang w:eastAsia="id-ID"/>
              </w:rPr>
              <w:t xml:space="preserve">This is an </w:t>
            </w:r>
            <w:r>
              <w:rPr>
                <w:rFonts w:ascii="Palatino Linotype" w:hAnsi="Palatino Linotype" w:cs="Calibri"/>
                <w:spacing w:val="-1"/>
                <w:szCs w:val="16"/>
                <w:lang w:eastAsia="id-ID"/>
              </w:rPr>
              <w:t>open</w:t>
            </w:r>
            <w:r w:rsidR="002443C2">
              <w:rPr>
                <w:rFonts w:ascii="Palatino Linotype" w:hAnsi="Palatino Linotype" w:cs="Calibri"/>
                <w:spacing w:val="-1"/>
                <w:szCs w:val="16"/>
                <w:lang w:eastAsia="id-ID"/>
              </w:rPr>
              <w:t>-</w:t>
            </w:r>
            <w:r>
              <w:rPr>
                <w:rFonts w:ascii="Palatino Linotype" w:hAnsi="Palatino Linotype" w:cs="Calibri"/>
                <w:spacing w:val="-1"/>
                <w:szCs w:val="16"/>
                <w:lang w:eastAsia="id-ID"/>
              </w:rPr>
              <w:t>access</w:t>
            </w:r>
            <w:r>
              <w:rPr>
                <w:rFonts w:ascii="Palatino Linotype" w:hAnsi="Palatino Linotype" w:cs="Calibri"/>
                <w:spacing w:val="27"/>
                <w:szCs w:val="16"/>
                <w:lang w:eastAsia="id-ID"/>
              </w:rPr>
              <w:t xml:space="preserve"> </w:t>
            </w:r>
            <w:r>
              <w:rPr>
                <w:rFonts w:ascii="Palatino Linotype" w:hAnsi="Palatino Linotype" w:cs="Calibri"/>
                <w:spacing w:val="-1"/>
                <w:szCs w:val="16"/>
                <w:lang w:eastAsia="id-ID"/>
              </w:rPr>
              <w:t>publication</w:t>
            </w:r>
            <w:r>
              <w:rPr>
                <w:rFonts w:ascii="Palatino Linotype" w:hAnsi="Palatino Linotype" w:cs="Calibri"/>
                <w:spacing w:val="30"/>
                <w:szCs w:val="16"/>
                <w:lang w:eastAsia="id-ID"/>
              </w:rPr>
              <w:t xml:space="preserve"> </w:t>
            </w:r>
            <w:r>
              <w:rPr>
                <w:rFonts w:ascii="Palatino Linotype" w:hAnsi="Palatino Linotype" w:cs="Calibri"/>
                <w:szCs w:val="16"/>
                <w:lang w:eastAsia="id-ID"/>
              </w:rPr>
              <w:t>under</w:t>
            </w:r>
            <w:r>
              <w:rPr>
                <w:rFonts w:ascii="Palatino Linotype" w:hAnsi="Palatino Linotype" w:cs="Calibri"/>
                <w:spacing w:val="28"/>
                <w:szCs w:val="16"/>
                <w:lang w:eastAsia="id-ID"/>
              </w:rPr>
              <w:t xml:space="preserve"> </w:t>
            </w:r>
            <w:r>
              <w:rPr>
                <w:rFonts w:ascii="Palatino Linotype" w:hAnsi="Palatino Linotype" w:cs="Calibri"/>
                <w:szCs w:val="16"/>
                <w:lang w:eastAsia="id-ID"/>
              </w:rPr>
              <w:t>the</w:t>
            </w:r>
            <w:r>
              <w:rPr>
                <w:rFonts w:ascii="Palatino Linotype" w:hAnsi="Palatino Linotype" w:cs="Calibri"/>
                <w:spacing w:val="29"/>
                <w:szCs w:val="16"/>
                <w:lang w:eastAsia="id-ID"/>
              </w:rPr>
              <w:t xml:space="preserve"> </w:t>
            </w:r>
            <w:r>
              <w:rPr>
                <w:rFonts w:ascii="Palatino Linotype" w:hAnsi="Palatino Linotype" w:cs="Calibri"/>
                <w:spacing w:val="-1"/>
                <w:szCs w:val="16"/>
                <w:lang w:eastAsia="id-ID"/>
              </w:rPr>
              <w:t>terms</w:t>
            </w:r>
            <w:r w:rsidR="003C3142">
              <w:rPr>
                <w:rFonts w:ascii="Palatino Linotype" w:hAnsi="Palatino Linotype" w:cs="Calibri"/>
                <w:spacing w:val="-1"/>
                <w:szCs w:val="16"/>
                <w:lang w:eastAsia="id-ID"/>
              </w:rPr>
              <w:t xml:space="preserve"> </w:t>
            </w:r>
            <w:r>
              <w:rPr>
                <w:rFonts w:ascii="Palatino Linotype" w:hAnsi="Palatino Linotype" w:cs="Calibri"/>
                <w:spacing w:val="-1"/>
                <w:szCs w:val="16"/>
                <w:lang w:val="en-US" w:eastAsia="id-ID"/>
              </w:rPr>
              <w:t>a</w:t>
            </w:r>
            <w:r>
              <w:rPr>
                <w:rFonts w:ascii="Palatino Linotype" w:hAnsi="Palatino Linotype" w:cs="Calibri"/>
                <w:spacing w:val="-1"/>
                <w:szCs w:val="16"/>
                <w:lang w:eastAsia="id-ID"/>
              </w:rPr>
              <w:t>nd</w:t>
            </w:r>
            <w:r>
              <w:rPr>
                <w:rFonts w:ascii="Palatino Linotype" w:hAnsi="Palatino Linotype" w:cs="Calibri"/>
                <w:spacing w:val="-1"/>
                <w:szCs w:val="16"/>
                <w:lang w:val="en-US" w:eastAsia="id-ID"/>
              </w:rPr>
              <w:t xml:space="preserve"> </w:t>
            </w:r>
            <w:r>
              <w:rPr>
                <w:rFonts w:ascii="Palatino Linotype" w:hAnsi="Palatino Linotype" w:cs="Calibri"/>
                <w:spacing w:val="-1"/>
                <w:szCs w:val="16"/>
                <w:lang w:eastAsia="id-ID"/>
              </w:rPr>
              <w:t>conditions</w:t>
            </w:r>
            <w:r>
              <w:rPr>
                <w:rFonts w:ascii="Palatino Linotype" w:hAnsi="Palatino Linotype" w:cs="Calibri"/>
                <w:spacing w:val="18"/>
                <w:szCs w:val="16"/>
                <w:lang w:eastAsia="id-ID"/>
              </w:rPr>
              <w:t xml:space="preserve"> </w:t>
            </w:r>
            <w:r>
              <w:rPr>
                <w:rFonts w:ascii="Palatino Linotype" w:hAnsi="Palatino Linotype" w:cs="Calibri"/>
                <w:szCs w:val="16"/>
                <w:lang w:eastAsia="id-ID"/>
              </w:rPr>
              <w:t>of</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the</w:t>
            </w:r>
            <w:r>
              <w:rPr>
                <w:rFonts w:ascii="Palatino Linotype" w:hAnsi="Palatino Linotype" w:cs="Calibri"/>
                <w:spacing w:val="42"/>
                <w:szCs w:val="16"/>
                <w:lang w:eastAsia="id-ID"/>
              </w:rPr>
              <w:t xml:space="preserve"> </w:t>
            </w:r>
            <w:r>
              <w:rPr>
                <w:rFonts w:ascii="Palatino Linotype" w:hAnsi="Palatino Linotype" w:cs="Calibri"/>
                <w:spacing w:val="-1"/>
                <w:szCs w:val="16"/>
                <w:lang w:eastAsia="id-ID"/>
              </w:rPr>
              <w:t>Creative</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Commons</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 xml:space="preserve">Attribution </w:t>
            </w:r>
            <w:r>
              <w:rPr>
                <w:rFonts w:ascii="Palatino Linotype" w:hAnsi="Palatino Linotype" w:cs="Calibri"/>
                <w:szCs w:val="16"/>
                <w:lang w:eastAsia="id-ID"/>
              </w:rPr>
              <w:t>4.0</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International</w:t>
            </w:r>
            <w:r>
              <w:rPr>
                <w:rFonts w:ascii="Palatino Linotype" w:hAnsi="Palatino Linotype" w:cs="Calibri"/>
                <w:spacing w:val="-8"/>
                <w:szCs w:val="16"/>
                <w:lang w:eastAsia="id-ID"/>
              </w:rPr>
              <w:t xml:space="preserve"> </w:t>
            </w:r>
            <w:r>
              <w:rPr>
                <w:rFonts w:ascii="Palatino Linotype" w:hAnsi="Palatino Linotype" w:cs="Calibri"/>
                <w:szCs w:val="16"/>
                <w:lang w:eastAsia="id-ID"/>
              </w:rPr>
              <w:t>(CC</w:t>
            </w:r>
            <w:r>
              <w:rPr>
                <w:rFonts w:ascii="Palatino Linotype" w:hAnsi="Palatino Linotype" w:cs="Calibri"/>
                <w:spacing w:val="-9"/>
                <w:szCs w:val="16"/>
                <w:lang w:eastAsia="id-ID"/>
              </w:rPr>
              <w:t xml:space="preserve"> </w:t>
            </w:r>
            <w:r>
              <w:rPr>
                <w:rFonts w:ascii="Palatino Linotype" w:hAnsi="Palatino Linotype" w:cs="Calibri"/>
                <w:szCs w:val="16"/>
                <w:lang w:eastAsia="id-ID"/>
              </w:rPr>
              <w:t>BY SA)</w:t>
            </w:r>
            <w:r>
              <w:rPr>
                <w:rFonts w:ascii="Palatino Linotype" w:hAnsi="Palatino Linotype" w:cs="Calibri"/>
                <w:spacing w:val="-8"/>
                <w:szCs w:val="16"/>
                <w:lang w:eastAsia="id-ID"/>
              </w:rPr>
              <w:t xml:space="preserve"> </w:t>
            </w:r>
            <w:r>
              <w:rPr>
                <w:rFonts w:ascii="Palatino Linotype" w:hAnsi="Palatino Linotype" w:cs="Calibri"/>
                <w:spacing w:val="-1"/>
                <w:szCs w:val="16"/>
                <w:lang w:eastAsia="id-ID"/>
              </w:rPr>
              <w:t>license</w:t>
            </w:r>
            <w:r>
              <w:rPr>
                <w:rFonts w:ascii="Palatino Linotype" w:hAnsi="Palatino Linotype" w:cs="Calibri"/>
                <w:spacing w:val="-1"/>
                <w:szCs w:val="16"/>
                <w:lang w:val="en-US" w:eastAsia="id-ID"/>
              </w:rPr>
              <w:t xml:space="preserve">, </w:t>
            </w:r>
            <w:hyperlink r:id="rId9" w:history="1">
              <w:r w:rsidR="006A7AB2">
                <w:rPr>
                  <w:rStyle w:val="Hyperlink"/>
                  <w:rFonts w:ascii="Palatino Linotype" w:hAnsi="Palatino Linotype" w:cs="Calibri"/>
                  <w:spacing w:val="-1"/>
                  <w:szCs w:val="16"/>
                  <w:lang w:eastAsia="id-ID"/>
                </w:rPr>
                <w:t>https://creativecommons.org/licenses/by-sa/4.0/</w:t>
              </w:r>
            </w:hyperlink>
            <w:r>
              <w:rPr>
                <w:rFonts w:ascii="Palatino Linotype" w:hAnsi="Palatino Linotype" w:cs="Calibri"/>
                <w:spacing w:val="-1"/>
                <w:szCs w:val="16"/>
                <w:lang w:eastAsia="id-ID"/>
              </w:rPr>
              <w:t>.</w:t>
            </w:r>
          </w:p>
        </w:tc>
      </w:tr>
    </w:tbl>
    <w:p w14:paraId="69D67EAF" w14:textId="77777777" w:rsidR="00561A2C" w:rsidRPr="00561A2C"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p>
    <w:p w14:paraId="64C6E4CD" w14:textId="77777777" w:rsidR="00A36355" w:rsidRPr="006B7949" w:rsidRDefault="00000000" w:rsidP="009058AC">
      <w:pPr>
        <w:pStyle w:val="ListParagraph"/>
        <w:adjustRightInd w:val="0"/>
        <w:snapToGrid w:val="0"/>
        <w:spacing w:before="240" w:after="120" w:line="276" w:lineRule="auto"/>
        <w:ind w:left="0"/>
        <w:outlineLvl w:val="0"/>
        <w:rPr>
          <w:rFonts w:ascii="Palatino Linotype" w:hAnsi="Palatino Linotype"/>
          <w:b/>
          <w:snapToGrid w:val="0"/>
          <w:color w:val="000000"/>
          <w:szCs w:val="28"/>
          <w:lang w:eastAsia="zh-CN" w:bidi="en-US"/>
        </w:rPr>
      </w:pPr>
      <w:r w:rsidRPr="006B7949">
        <w:rPr>
          <w:rFonts w:ascii="Palatino Linotype" w:hAnsi="Palatino Linotype"/>
          <w:b/>
          <w:snapToGrid w:val="0"/>
          <w:color w:val="000000"/>
          <w:szCs w:val="28"/>
          <w:lang w:eastAsia="zh-CN" w:bidi="en-US"/>
        </w:rPr>
        <w:t xml:space="preserve">INTRODUCTION </w:t>
      </w:r>
    </w:p>
    <w:p w14:paraId="3D447586"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The emphasis on sustainability and corporate social responsibility (CSR) has intensified in the contemporary business environment, driven by growing stakeholder expectations and regulatory demands. As organizations strive to align their operations with sustainable practices, effective governance, risk management, and compliance (GRC) policies emerge as critical frameworks to support these objectives</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0047-2336","author":[{"dropping-particle":"","family":"McGregor","given":"Katharine","non-dropping-particle":"","parse-names":false,"suffix":""},{"dropping-particle":"","family":"Setiawan","given":"Ken","non-dropping-particle":"","parse-names":false,"suffix":""}],"container-title":"Journal of Contemporary Asia","id":"ITEM-1","issue":"5","issued":{"date-parts":[["2019"]]},"page":"837-861","publisher":"Taylor &amp; Francis","title":"Shifting from international to “Indonesian” justice measures: Two decades of addressing past human rights violations","type":"article-journal","volume":"49"},"uris":["http://www.mendeley.com/documents/?uuid=cfac5d76-c4eb-4264-b8ae-edac9ea95b9a"]}],"mendeley":{"formattedCitation":"(McGregor &amp; Setiawan, 2019)","plainTextFormattedCitation":"(McGregor &amp; Setiawan, 2019)","previouslyFormattedCitation":"[1]"},"properties":{"noteIndex":0},"schema":"https://github.com/citation-style-language/schema/raw/master/csl-citation.json"}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 xml:space="preserve">(McGregor &amp; </w:t>
      </w:r>
      <w:r w:rsidR="003A65F3" w:rsidRPr="003A65F3">
        <w:rPr>
          <w:rFonts w:ascii="Palatino Linotype" w:eastAsia="Times New Roman" w:hAnsi="Palatino Linotype"/>
          <w:noProof/>
          <w:snapToGrid w:val="0"/>
          <w:color w:val="000000"/>
          <w:spacing w:val="-2"/>
          <w:sz w:val="24"/>
          <w:szCs w:val="28"/>
          <w:lang w:val="en-US" w:eastAsia="de-DE" w:bidi="en-US"/>
        </w:rPr>
        <w:lastRenderedPageBreak/>
        <w:t>Setiawan, 2019)</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xml:space="preserve">. Integrating GRC practices into corporate strategies is essential for ensuring compliance with legal and ethical standards and fostering stakeholder trust and credibility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{"citationItems":[{"id":"ITEM-1","itemData":{"ISBN":"9783832550431","abstract":"Intro -- Introduction -- (Wiesław Danielak) -- Values obtained from customer relationship management -- (Dorota Dolińska-Weryńska &amp; Piotr Weryński) -- The value of innovative brands of enterprises from MSME sector -- (Michał Igielski) -- Stimulating innovative attitudes of employees in modern enterprises -- (Magdalena Wysocka) -- Corporate social responsibility in family businesses -- (Justyna Rój) -- The importance of healthcare inequities in sustainable development -- (Katarzyna Chrobocińska) -- Innovative activities of small service companies (Małgorzata Lechwar, Małgorzata Leszczyńska &amp; Katarzyna Puchalska) -- Quality of life in the context of intelligent specialization -- a model for urban agglomeration -- (Monika Raczyńska) -- Analysis of enterprise innovation management in Poland -- (Angelika Matusik-Popławska) -- Startup as a form of innovation development in Poland -- (Magdalena Jarczok-Guzy) -- The impact of changes in tax regulations in 2019 on investment decisions of SME enterprises in Poland -- (Magdalena Wiercioch) -- Financing of innovative activities in the Podkarpackie Voivodeship in Poland","author":[{"dropping-particle":"","family":"Lis","given":"Marcin.","non-dropping-particle":"","parse-names":false,"suffix":""},{"dropping-particle":"","family":"Szyszka","given":"Michał.","non-dropping-particle":"","parse-names":false,"suffix":""}],"id":"ITEM-1","issued":{"date-parts":[["2020"]]},"number-of-pages":"1-134","publisher":"Logos Verlag Berlin","title":"Innovation and Entrepreneurship : Theory and Practice.","type":"book"},"uris":["http://www.mendeley.com/documents/?uuid=21ab864a-7023-435b-a14c-92abf1c23d3e"]}],"mendeley":{"formattedCitation":"(Lis &amp; Szyszka, 2020)","plainTextFormattedCitation":"(Lis &amp; Szyszka, 2020)","previouslyFormattedCitation":"[2]"},"properties":{"noteIndex":0},"schema":"https://github.com/citation-style-language/schema/raw/master/csl-citation.json"}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(Lis &amp; Szyszka, 2020)</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This article evaluates the role of GRC policies in enhancing sustainability and CSR efforts within organizations, thereby contributing to a more sustainable future.</w:t>
      </w:r>
    </w:p>
    <w:p w14:paraId="065D627C"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The increasing complexity of global markets and the rising prevalence of social and environmental issues necessitate a robust GRC framework. Organizations are often confronted with various challenges, including regulatory compliance, risk identification, mitigation, and transparent governance structures</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{"citationItems":[{"id":"ITEM-1","itemData":{"ISSN":"2351-9894","author":[{"dropping-particle":"","family":"D’Cruze","given":"Neil","non-dropping-particle":"","parse-names":false,"suffix":""},{"dropping-particle":"","family":"Galarza","given":"Fidel Ernesto Rodriguez","non-dropping-particle":"","parse-names":false,"suffix":""},{"dropping-particle":"","family":"Broche","given":"Osmany","non-dropping-particle":"","parse-names":false,"suffix":""},{"dropping-particle":"","family":"Bizri","given":"Hani R","non-dropping-particle":"El","parse-names":false,"suffix":""},{"dropping-particle":"","family":"Megson","given":"Steven","non-dropping-particle":"","parse-names":false,"suffix":""},{"dropping-particle":"","family":"Elwin","given":"Angie","non-dropping-particle":"","parse-names":false,"suffix":""},{"dropping-particle":"","family":"Machado","given":"Fernando Carniel","non-dropping-particle":"","parse-names":false,"suffix":""},{"dropping-particle":"","family":"Norrey","given":"John","non-dropping-particle":"","parse-names":false,"suffix":""},{"dropping-particle":"","family":"Coulthard","given":"Emma","non-dropping-particle":"","parse-names":false,"suffix":""},{"dropping-particle":"","family":"Megson","given":"David","non-dropping-particle":"","parse-names":false,"suffix":""}],"container-title":"Global Ecology and Conservation","id":"ITEM-1","issued":{"date-parts":[["2021"]]},"page":"e01631","publisher":"Elsevier","title":"Characterizing trade at the largest wildlife market of Amazonian Peru","type":"article-journal","volume":"28"},"uris":["http://www.mendeley.com/documents/?uuid=a9d9808e-9701-4b53-8687-aac336135114"]}],"mendeley":{"formattedCitation":"(D’Cruze et al., 2021)","plainTextFormattedCitation":"(D’Cruze et al., 2021)","previouslyFormattedCitation":"[3]"},"properties":{"noteIndex":0},"schema":"https://github.com/citation-style-language/schema/raw/master/csl-citation.json"}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(D’Cruze et al., 2021)</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However, the implementation of GRC policies could be more consistent, leading to potential gaps in sustainability and CSR initiatives. These challenges highlight the need to thoroughly evaluate existing GRC policies to ascertain their effectiveness in supporting organizational sustainability goals</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{"citationItems":[{"id":"ITEM-1","itemData":{"DOI":"10.14710/jsp.2021.12027","abstract":"When adopting the zero waste strategy for the implementation of waste management measures at a Higher Education Institution, the commitment in the institution is of fundamental importance, not only with solid waste, but with the sustainability issue under a circular economy perspective, which should gradually be incorporated to the different programs and routine actions from universities. Several directions can be taken in the construction of this path so that universities are managed under the sustainability’s premises. In this article, the zero waste strategy for implementation of a circular economy program will be analyzed as a way to consolidate the process Green Campus. A qualitative and exploratory research was undertaken on green campus and zero waste strategies, mainly in universities. Although there is still a limited number of universities committed to zero waste actions, it was possible to appoint the benefits when implementing institutional programs related to sustainability and the fulfillment of the Sustainable Development Goals.","author":[{"dropping-particle":"","family":"Ap. Moreira","given":"Gislaine","non-dropping-particle":"","parse-names":false,"suffix":""},{"dropping-particle":"","family":"Wanda Rutkoskwi","given":"Emilia","non-dropping-particle":"","parse-names":false,"suffix":""}],"container-title":"Journal of Sustainability Perspectives","id":"ITEM-1","issued":{"date-parts":[["2021"]]},"page":"367-373","title":"Zero Waste Strategy for a Green Campus","type":"article-journal","volume":"1"},"uris":["http://www.mendeley.com/documents/?uuid=7f4c068f-b6f9-49b4-a1c4-c5b84dc19b49"]}],"mendeley":{"formattedCitation":"(Ap. Moreira &amp; Wanda Rutkoskwi, 2021)","plainTextFormattedCitation":"(Ap. Moreira &amp; Wanda Rutkoskwi, 2021)","previouslyFormattedCitation":"[4]"},"properties":{"noteIndex":0},"schema":"https://github.com/citation-style-language/schema/raw/master/csl-citation.json"}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(Ap. Moreira &amp; Wanda Rutkoskwi, 2021)</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w:t>
      </w:r>
    </w:p>
    <w:p w14:paraId="4797E97E"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One unique aspect of this evaluation is exploring how GRC policies can be tailored to address different industries' specific sustainability challenges. The diversity of business sectors presents distinct risks and opportunities, necessitating a nuanced approach to GRC implementation</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{"citationItems":[{"id":"ITEM-1","itemData":{"ISSN":"2666-1659","author":[{"dropping-particle":"","family":"Bibri","given":"Simon Elias","non-dropping-particle":"","parse-names":false,"suffix":""},{"dropping-particle":"","family":"Krogstie","given":"John","non-dropping-particle":"","parse-names":false,"suffix":""},{"dropping-particle":"","family":"Kärrholm","given":"Mattias","non-dropping-particle":"","parse-names":false,"suffix":""}],"container-title":"Developments in the built environment","id":"ITEM-1","issued":{"date-parts":[["2020"]]},"page":"100021","publisher":"Elsevier","title":"Compact city planning and development: Emerging practices and strategies for achieving the goals of sustainability","type":"article-journal","volume":"4"},"uris":["http://www.mendeley.com/documents/?uuid=28388c95-83cc-4004-a7e3-8a44e2a05ca2"]}],"mendeley":{"formattedCitation":"(Bibri et al., 2020)","plainTextFormattedCitation":"(Bibri et al., 2020)","previouslyFormattedCitation":"[5]"},"properties":{"noteIndex":0},"schema":"https://github.com/citation-style-language/schema/raw/master/csl-citation.json"}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(Bibri et al., 2020)</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For instance, industries such as manufacturing may encounter significant environmental risks, while the financial sector may face heightened scrutiny regarding social equity and governance</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{"citationItems":[{"id":"ITEM-1","itemData":{"ISSN":"0959-6526","author":[{"dropping-particle":"","family":"Leal Filho","given":"Walter","non-dropping-particle":"","parse-names":false,"suffix":""},{"dropping-particle":"","family":"Shiel","given":"Chris","non-dropping-particle":"","parse-names":false,"suffix":""},{"dropping-particle":"","family":"Paço","given":"Arminda","non-dropping-particle":"","parse-names":false,"suffix":""},{"dropping-particle":"","family":"Mifsud","given":"Mark","non-dropping-particle":"","parse-names":false,"suffix":""},{"dropping-particle":"","family":"Ávila","given":"Lucas Veiga","non-dropping-particle":"","parse-names":false,"suffix":""},{"dropping-particle":"","family":"Brandli","given":"Luciana Londero","non-dropping-particle":"","parse-names":false,"suffix":""},{"dropping-particle":"","family":"Molthan-Hill","given":"Petra","non-dropping-particle":"","parse-names":false,"suffix":""},{"dropping-particle":"","family":"Pace","given":"Paul","non-dropping-particle":"","parse-names":false,"suffix":""},{"dropping-particle":"","family":"Azeiteiro","given":"Ulisses M","non-dropping-particle":"","parse-names":false,"suffix":""},{"dropping-particle":"","family":"Vargas","given":"Valeria Ruiz","non-dropping-particle":"","parse-names":false,"suffix":""}],"container-title":"Journal of Cleaner Production","id":"ITEM-1","issued":{"date-parts":[["2019"]]},"page":"285-294","publisher":"Elsevier","title":"Sustainable Development Goals and sustainability teaching at universities: Falling behind or getting ahead of the pack?","type":"article-journal","volume":"232"},"uris":["http://www.mendeley.com/documents/?uuid=f13809ee-fa6f-4569-8432-3a6e60c0270a"]}],"mendeley":{"formattedCitation":"(Leal Filho et al., 2019)","plainTextFormattedCitation":"(Leal Filho et al., 2019)","previouslyFormattedCitation":"[6]"},"properties":{"noteIndex":0},"schema":"https://github.com/citation-style-language/schema/raw/master/csl-citation.json"}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(Leal Filho et al., 2019)</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By examining these industry-specific dynamics, this article seeks to provide insights into the best practices that can enhance the alignment of GRC frameworks with sustainability and CSR objectives.</w:t>
      </w:r>
    </w:p>
    <w:p w14:paraId="29E55453"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Despite the acknowledged importance of GRC policies, there remains a notable gap in empirical research exploring their direct impact on sustainability and CSR outcomes</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{"citationItems":[{"id":"ITEM-1","itemData":{"DOI":"10.13189/ujer.2019.071220","ISSN":"23323213","abstract":"This study seeks to analyze the implementation of public policies related to education as a result of the decentralization of education in Indonesia. This study focuses on the phenomenon of regional autonomy policy implementation, and how the model framework is in the implementation of education policy in the era of regional autonomy. Using a qualitative approach with a descriptive analytical method, the results of the study revealed that there are four main factors that need to be referenced in policy making and implementation of education policy in Indonesia. Specifically, the results of the study revealed that important considerations in the implementation of education were related to translation skills, human resource management capabilities, the number of implementers and accountability. By considering phenomena and problems arising from decentralization, the framework is considered to be in accordance with the reality of how education policies are implemented in Indonesia.","author":[{"dropping-particle":"","family":"Muhdi","given":"Muhdi","non-dropping-particle":"","parse-names":false,"suffix":""}],"container-title":"Universal Journal of Educational Research","id":"ITEM-1","issue":"12","issued":{"date-parts":[["2019"]]},"page":"2717-2728","publisher":"Horizon Research Publishing","title":"Framework for implementation of education policy in the perspective of education management in Indonesia","type":"article-journal","volume":"7"},"uris":["http://www.mendeley.com/documents/?uuid=4c0727df-2097-43fa-8363-fb5f74a2bc90"]}],"mendeley":{"formattedCitation":"(Muhdi, 2019)","plainTextFormattedCitation":"(Muhdi, 2019)","previouslyFormattedCitation":"[7]"},"properties":{"noteIndex":0},"schema":"https://github.com/citation-style-language/schema/raw/master/csl-citation.json"}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(Muhdi, 2019)</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While existing literature has extensively covered the individual components of GRC, more comprehensive studies need to be conducted to analyze their collective influence on sustainable business practices</w:t>
      </w:r>
      <w:r w:rsidR="00267C8B">
        <w:rPr>
          <w:rFonts w:ascii="Palatino Linotype" w:eastAsia="Times New Roman" w:hAnsi="Palatino Linotype"/>
          <w:snapToGrid w:val="0"/>
          <w:color w:val="000000"/>
          <w:spacing w:val="-2"/>
          <w:sz w:val="24"/>
          <w:szCs w:val="28"/>
          <w:lang w:val="en-US" w:eastAsia="de-DE" w:bidi="en-US"/>
        </w:rPr>
        <w:t xml:space="preserve"> </w:t>
      </w:r>
      <w:r w:rsidR="00267C8B">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{"citationItems":[{"id":"ITEM-1","itemData":{"ISSN":"2071-1050","author":[{"dropping-particle":"","family":"Rubio-Mozos","given":"Ernestina","non-dropping-particle":"","parse-names":false,"suffix":""},{"dropping-particle":"","family":"García-Muiña","given":"Fernando Enrique","non-dropping-particle":"","parse-names":false,"suffix":""},{"dropping-particle":"","family":"Fuentes-Moraleda","given":"Laura","non-dropping-particle":"","parse-names":false,"suffix":""}],"container-title":"Sustainability","id":"ITEM-1","issue":"20","issued":{"date-parts":[["2019"]]},"page":"5569","publisher":"MDPI","title":"Rethinking 21st-century businesses: An approach to fourth sector SMEs in their transition to a sustainable model committed to SDGs","type":"article-journal","volume":"11"},"uris":["http://www.mendeley.com/documents/?uuid=9554443a-5b55-417a-9c25-d2745505ac1a"]}],"mendeley":{"formattedCitation":"(Rubio-Mozos et al., 2019)","plainTextFormattedCitation":"(Rubio-Mozos et al., 2019)","previouslyFormattedCitation":"[8]"},"properties":{"noteIndex":0},"schema":"https://github.com/citation-style-language/schema/raw/master/csl-citation.json"}</w:instrText>
      </w:r>
      <w:r w:rsidR="00267C8B">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(Rubio-Mozos et al., 2019)</w:t>
      </w:r>
      <w:r w:rsidR="00267C8B">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xml:space="preserve">. This gap presents an opportunity for further investigation, enabling organizations to refine their GRC strategies in a manner that genuinely promotes sustainability and CSR. </w:t>
      </w:r>
    </w:p>
    <w:p w14:paraId="5DE0CDEA" w14:textId="77777777" w:rsidR="00121E44"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Moreover, the novelty of this research lies in its potential to contribute to the development of an integrated GRC model that prioritizes sustainability and CSR. By assessing the interrelationships between governance, risk management, and compliance, this study aims to offer practical recommendations for organizations seeking to enhance their GRC policies</w:t>
      </w:r>
      <w:r w:rsidR="00D740F9">
        <w:rPr>
          <w:rFonts w:ascii="Palatino Linotype" w:eastAsia="Times New Roman" w:hAnsi="Palatino Linotype"/>
          <w:snapToGrid w:val="0"/>
          <w:color w:val="000000"/>
          <w:spacing w:val="-2"/>
          <w:sz w:val="24"/>
          <w:szCs w:val="28"/>
          <w:lang w:val="en-US" w:eastAsia="de-DE" w:bidi="en-US"/>
        </w:rPr>
        <w:t xml:space="preserve"> </w:t>
      </w:r>
      <w:r w:rsidR="00D740F9">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{"citationItems":[{"id":"ITEM-1","itemData":{"DOI":"10.2965/jwet.19-037","ISSN":"13482165","abstract":"Drinking water refilling stations (DWRS) are a growing business, providing affordable drinking water for middle-low urban households in developing countries in the last two decades. However, quality control including water quality and compliance with regulations, is not fulfilled completely by all DWRS. This study aimed to assess water quality and risk of recontamination of DWRS and compliance with administrative-laboratory testing regulations and factors associated with it. A crosssectional study was conducted from March-August 2017 in Bandung City, and 229 of 659 DWRS were selected randomly. The water quality and risk of recontamination from refill gallons and outlet taps were examined using cotton swab and membrane filter methods to identify total coliforms/Escherichia coli. Compliance with administrative-laboratory testing regulations was identified based on the regulations of the Ministry of Health. Results found that water quality was unsuitable in 37.6% of drinking water and 34.1% of raw water. The risk of recontamination was found in 40% of refill gallons and 25.3% of outlet taps. Only 10.5% of DWRS complied with administrative-laboratory requirements. Factors associated with compliance were certified training and good management. An integrated system to manage and control the quality of DWRS is needed to prevent the consumption of nonstandardized drinking water.","author":[{"dropping-particle":"","family":"Sari","given":"Sri Yusnita Irda","non-dropping-particle":"","parse-names":false,"suffix":""},{"dropping-particle":"","family":"Faisal","given":"Muhamad","non-dropping-particle":"","parse-names":false,"suffix":""},{"dropping-particle":"","family":"Raksanagara","given":"Ardini Saptaningsih","non-dropping-particle":"","parse-names":false,"suffix":""},{"dropping-particle":"","family":"Agustian","given":"Dwi","non-dropping-particle":"","parse-names":false,"suffix":""},{"dropping-particle":"","family":"Rusmil","given":"Kusnandi","non-dropping-particle":"","parse-names":false,"suffix":""}],"container-title":"Journal of Water and Environment Technology","id":"ITEM-1","issue":"1","issued":{"date-parts":[["2020"]]},"page":"27-36","title":"Water quality and factors associated with compliance of drinking water refilling stations as a choice for middle-low urban households in developing countries","type":"article-journal","volume":"18"},"uris":["http://www.mendeley.com/documents/?uuid=cb17afb9-743b-4f54-bc98-c4cbede49384"]}],"mendeley":{"formattedCitation":"(Sari et al., 2020)","plainTextFormattedCitation":"(Sari et al., 2020)","previouslyFormattedCitation":"[9]"},"properties":{"noteIndex":0},"schema":"https://github.com/citation-style-language/schema/raw/master/csl-citation.json"}</w:instrText>
      </w:r>
      <w:r w:rsidR="00D740F9">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(Sari et al., 2020)</w:t>
      </w:r>
      <w:r w:rsidR="00D740F9">
        <w:rPr>
          <w:rFonts w:ascii="Palatino Linotype" w:eastAsia="Times New Roman" w:hAnsi="Palatino Linotype"/>
          <w:snapToGrid w:val="0"/>
          <w:color w:val="000000"/>
          <w:spacing w:val="-2"/>
          <w:sz w:val="24"/>
          <w:szCs w:val="28"/>
          <w:lang w:val="en-US" w:eastAsia="de-DE" w:bidi="en-US"/>
        </w:rPr>
        <w:fldChar w:fldCharType="end"/>
      </w:r>
      <w:r w:rsidR="00D740F9">
        <w:rPr>
          <w:rFonts w:ascii="Palatino Linotype" w:eastAsia="Times New Roman" w:hAnsi="Palatino Linotype"/>
          <w:snapToGrid w:val="0"/>
          <w:color w:val="000000"/>
          <w:spacing w:val="-2"/>
          <w:sz w:val="24"/>
          <w:szCs w:val="28"/>
          <w:lang w:val="en-US" w:eastAsia="de-DE" w:bidi="en-US"/>
        </w:rPr>
        <w:t xml:space="preserve">; </w:t>
      </w:r>
      <w:r w:rsidR="00D740F9">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{"citationItems":[{"id":"ITEM-1","itemData":{"ISSN":"0143-2095","author":[{"dropping-particle":"","family":"Belderbos","given":"René","non-dropping-particle":"","parse-names":false,"suffix":""},{"dropping-particle":"","family":"Tong","given":"Tony W","non-dropping-particle":"","parse-names":false,"suffix":""},{"dropping-particle":"","family":"Wu","given":"Shubin","non-dropping-particle":"","parse-names":false,"suffix":""}],"container-title":"Strategic Management Journal","id":"ITEM-1","issue":"7","issued":{"date-parts":[["2020"]]},"page":"1191-1209","publisher":"Wiley Online Library","title":"Portfolio configuration and foreign entry decisions: A juxtaposition of real options and risk diversification theories","type":"article-journal","volume":"41"},"uris":["http://www.mendeley.com/documents/?uuid=4246ca46-54c3-478a-b6d5-ca345aa00afe"]}],"mendeley":{"formattedCitation":"(Belderbos et al., 2020)","plainTextFormattedCitation":"(Belderbos et al., 2020)","previouslyFormattedCitation":"[10]"},"properties":{"noteIndex":0},"schema":"https://github.com/citation-style-language/schema/raw/master/csl-citation.json"}</w:instrText>
      </w:r>
      <w:r w:rsidR="00D740F9">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(Belderbos et al., 2020)</w:t>
      </w:r>
      <w:r w:rsidR="00D740F9">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xml:space="preserve">. Ultimately, this evaluation not only aims to fill existing gaps in the literature but also </w:t>
      </w:r>
      <w:r w:rsidRPr="00E21901">
        <w:rPr>
          <w:rFonts w:ascii="Palatino Linotype" w:eastAsia="Times New Roman" w:hAnsi="Palatino Linotype"/>
          <w:snapToGrid w:val="0"/>
          <w:color w:val="000000"/>
          <w:spacing w:val="-2"/>
          <w:sz w:val="24"/>
          <w:szCs w:val="28"/>
          <w:lang w:val="en-US" w:eastAsia="de-DE" w:bidi="en-US"/>
        </w:rPr>
        <w:lastRenderedPageBreak/>
        <w:t>seeks to provide a roadmap for organizations committed to achieving their sustainability and CSR objectives through effective GRC practices.</w:t>
      </w:r>
    </w:p>
    <w:p w14:paraId="14487B14" w14:textId="77777777" w:rsidR="00E21901" w:rsidRPr="009058AC"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The primary objective of this research is to evaluate the effectiveness of Governance, Risk Management, and Compliance (GRC) policies in supporting sustainability and corporate social responsibility (CSR) within various organizational contexts. The study aims to identify best practices and provide actionable insights for enhancing GRC frameworks that align with sustainability goals by analyzing the interplay between these three critical components. The findings of this research will benefit organizations by equipping them with a deeper understanding of how to implement and optimize GRC policies to address sustainability challenges and improve CSR initiatives. Additionally, this study will contribute to the academic literature by bridging existing gaps, offering a comprehensive perspective on the role of GRC in fostering sustainable business practices and promoting a culture of accountability and ethical conduct among organizations.</w:t>
      </w:r>
    </w:p>
    <w:p w14:paraId="3BA6656A" w14:textId="77777777" w:rsidR="00627989" w:rsidRPr="006B7949" w:rsidRDefault="00000000" w:rsidP="00DF6DDC">
      <w:pPr>
        <w:pStyle w:val="ListParagraph"/>
        <w:adjustRightInd w:val="0"/>
        <w:snapToGrid w:val="0"/>
        <w:spacing w:before="240" w:after="120" w:line="276" w:lineRule="auto"/>
        <w:ind w:left="0"/>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METHODS</w:t>
      </w:r>
      <w:r w:rsidRPr="006B7949">
        <w:rPr>
          <w:rFonts w:ascii="Palatino Linotype" w:eastAsia="Arial" w:hAnsi="Palatino Linotype"/>
          <w:b/>
          <w:bCs/>
        </w:rPr>
        <w:t xml:space="preserve"> </w:t>
      </w:r>
    </w:p>
    <w:p w14:paraId="798D615B"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E21901">
        <w:rPr>
          <w:rFonts w:ascii="Palatino Linotype" w:eastAsia="Times New Roman" w:hAnsi="Palatino Linotype"/>
          <w:snapToGrid w:val="0"/>
          <w:color w:val="000000"/>
          <w:spacing w:val="-2"/>
          <w:sz w:val="24"/>
          <w:szCs w:val="28"/>
          <w:lang w:val="en-US" w:eastAsia="de-DE" w:bidi="en-US"/>
        </w:rPr>
        <w:t>This research employs a mixed-methods approach to evaluate the effectiveness of Governance, Risk Management, and Compliance (GRC) policies in supporting sustainability and corporate social responsibility (CSR). Initially, a quantitative analysis will be conducted using a structured survey distributed to a diverse range of organizations across multiple industries</w:t>
      </w:r>
      <w:r w:rsidR="00D740F9">
        <w:rPr>
          <w:rFonts w:ascii="Palatino Linotype" w:eastAsia="Times New Roman" w:hAnsi="Palatino Linotype"/>
          <w:snapToGrid w:val="0"/>
          <w:color w:val="000000"/>
          <w:spacing w:val="-2"/>
          <w:sz w:val="24"/>
          <w:szCs w:val="28"/>
          <w:lang w:val="en-US" w:eastAsia="de-DE" w:bidi="en-US"/>
        </w:rPr>
        <w:t xml:space="preserve"> </w:t>
      </w:r>
      <w:r w:rsidR="00D740F9">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author":[{"dropping-particle":"","family":"Chen","given":"Zhilong","non-dropping-particle":"","parse-names":false,"suffix":""},{"dropping-particle":"","family":"Cao","given":"Hancheng","non-dropping-particle":"","parse-names":false,"suffix":""},{"dropping-particle":"","family":"Deng","given":"Yuting","non-dropping-particle":"","parse-names":false,"suffix":""},{"dropping-particle":"","family":"Gao","given":"Xuan","non-dropping-particle":"","parse-names":false,"suffix":""},{"dropping-particle":"","family":"Piao","given":"Jinghua","non-dropping-particle":"","parse-names":false,"suffix":""},{"dropping-particle":"","family":"Xu","given":"Fengli","non-dropping-particle":"","parse-names":false,"suffix":""},{"dropping-particle":"","family":"Zhang","given":"Yu","non-dropping-particle":"","parse-names":false,"suffix":""},{"dropping-particle":"","family":"Li","given":"Yong","non-dropping-particle":"","parse-names":false,"suffix":""}],"container-title":"Proceedings of the 2021 CHI Conference on human factors in computing systems","id":"ITEM-1","issued":{"date-parts":[["2021"]]},"page":"1-16","title":"Learning from home: A mixed-methods analysis of live streaming based remote education experience in chinese colleges during the covid-19 pandemic","type":"paper-conference"},"uris":["http://www.mendeley.com/documents/?uuid=14813c81-4a76-4d39-8525-35aba67ecc29"]}],"mendeley":{"formattedCitation":"(Chen et al., 2021)","plainTextFormattedCitation":"(Chen et al., 2021)","previouslyFormattedCitation":"[11]"},"properties":{"noteIndex":0},"schema":"https://github.com/citation-style-language/schema/raw/master/csl-citation.json"}</w:instrText>
      </w:r>
      <w:r w:rsidR="00D740F9">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(Chen et al., 2021)</w:t>
      </w:r>
      <w:r w:rsidR="00D740F9">
        <w:rPr>
          <w:rFonts w:ascii="Palatino Linotype" w:eastAsia="Times New Roman" w:hAnsi="Palatino Linotype"/>
          <w:snapToGrid w:val="0"/>
          <w:color w:val="000000"/>
          <w:spacing w:val="-2"/>
          <w:sz w:val="24"/>
          <w:szCs w:val="28"/>
          <w:lang w:val="en-US" w:eastAsia="de-DE" w:bidi="en-US"/>
        </w:rPr>
        <w:fldChar w:fldCharType="end"/>
      </w:r>
      <w:r w:rsidRPr="00E21901">
        <w:rPr>
          <w:rFonts w:ascii="Palatino Linotype" w:eastAsia="Times New Roman" w:hAnsi="Palatino Linotype"/>
          <w:snapToGrid w:val="0"/>
          <w:color w:val="000000"/>
          <w:spacing w:val="-2"/>
          <w:sz w:val="24"/>
          <w:szCs w:val="28"/>
          <w:lang w:val="en-US" w:eastAsia="de-DE" w:bidi="en-US"/>
        </w:rPr>
        <w:t>. The survey will assess the current state of GRC practices, focusing on their alignment with sustainability and CSR objectives. Key metrics will include implementing specific GRC policies, perceived effectiveness in risk management, and the impact on organizational sustainability initiatives. Data collected from the surveys will be analyzed using statistical methods to identify correlations between robust GRC practices and positive sustainability and CSR outcomes.</w:t>
      </w:r>
    </w:p>
    <w:p w14:paraId="3FDCD5B2" w14:textId="77777777" w:rsidR="00D740F9" w:rsidRDefault="00000000" w:rsidP="003A65F3">
      <w:pPr>
        <w:widowControl/>
        <w:adjustRightInd w:val="0"/>
        <w:snapToGrid w:val="0"/>
        <w:spacing w:line="276" w:lineRule="auto"/>
        <w:ind w:firstLine="567"/>
        <w:jc w:val="both"/>
        <w:rPr>
          <w:rFonts w:ascii="Palatino Linotype" w:eastAsia="Times New Roman" w:hAnsi="Palatino Linotype" w:cs="Arial"/>
          <w:b/>
          <w:snapToGrid w:val="0"/>
          <w:color w:val="000000"/>
          <w:sz w:val="24"/>
          <w:szCs w:val="28"/>
          <w:lang w:val="en-US" w:eastAsia="zh-CN" w:bidi="en-US"/>
        </w:rPr>
      </w:pPr>
      <w:r w:rsidRPr="00E21901">
        <w:rPr>
          <w:rFonts w:ascii="Palatino Linotype" w:eastAsia="Times New Roman" w:hAnsi="Palatino Linotype"/>
          <w:snapToGrid w:val="0"/>
          <w:color w:val="000000"/>
          <w:spacing w:val="-2"/>
          <w:sz w:val="24"/>
          <w:szCs w:val="28"/>
          <w:lang w:val="en-US" w:eastAsia="de-DE" w:bidi="en-US"/>
        </w:rPr>
        <w:t xml:space="preserve">Complementing the quantitative analysis, qualitative interviews will be conducted with key stakeholders, including GRC officers, sustainability managers, and corporate executives. These interviews aim to gain deeper insights into the challenges and successes associated with GRC implementation and its influence on sustainability and CSR efforts. Thematic analysis will be employed to identify common patterns and unique perspectives among the interviewees, allowing for a richer understanding of the nuances in GRC practices across different organizational contexts. By integrating quantitative and qualitative data, this study seeks to provide a comprehensive evaluation of how GRC policies can effectively support sustainability and CSR, thereby </w:t>
      </w:r>
      <w:r w:rsidRPr="00E21901">
        <w:rPr>
          <w:rFonts w:ascii="Palatino Linotype" w:eastAsia="Times New Roman" w:hAnsi="Palatino Linotype"/>
          <w:snapToGrid w:val="0"/>
          <w:color w:val="000000"/>
          <w:spacing w:val="-2"/>
          <w:sz w:val="24"/>
          <w:szCs w:val="28"/>
          <w:lang w:val="en-US" w:eastAsia="de-DE" w:bidi="en-US"/>
        </w:rPr>
        <w:lastRenderedPageBreak/>
        <w:t>contributing valuable knowledge to practitioners and academics in the field</w:t>
      </w:r>
      <w:r w:rsidR="00966C8A">
        <w:rPr>
          <w:rFonts w:ascii="Palatino Linotype" w:eastAsia="Times New Roman" w:hAnsi="Palatino Linotype"/>
          <w:snapToGrid w:val="0"/>
          <w:color w:val="000000"/>
          <w:spacing w:val="-2"/>
          <w:sz w:val="24"/>
          <w:szCs w:val="28"/>
          <w:lang w:val="en-US" w:eastAsia="de-DE" w:bidi="en-US"/>
        </w:rPr>
        <w:t xml:space="preserve"> </w:t>
      </w:r>
      <w:r w:rsidR="00627989" w:rsidRPr="00966C8A">
        <w:rPr>
          <w:rFonts w:ascii="Palatino Linotype" w:eastAsia="Times New Roman" w:hAnsi="Palatino Linotype"/>
          <w:snapToGrid w:val="0"/>
          <w:color w:val="000000"/>
          <w:spacing w:val="-2"/>
          <w:sz w:val="24"/>
          <w:szCs w:val="28"/>
          <w:lang w:val="en-US" w:eastAsia="de-DE" w:bidi="en-US"/>
        </w:rPr>
        <w:fldChar w:fldCharType="begin" w:fldLock="1"/>
      </w:r>
      <w:r w:rsidR="003A65F3">
        <w:rPr>
          <w:rFonts w:ascii="Palatino Linotype" w:eastAsia="Times New Roman" w:hAnsi="Palatino Linotype"/>
          <w:snapToGrid w:val="0"/>
          <w:color w:val="000000"/>
          <w:spacing w:val="-2"/>
          <w:sz w:val="24"/>
          <w:szCs w:val="28"/>
          <w:lang w:val="en-US" w:eastAsia="de-DE" w:bidi="en-US"/>
        </w:rPr>
        <w:instrText>ADDIN CSL_CITATION {"citationItems":[{"id":"ITEM-1","itemData":{"author":[{"dropping-particle":"","family":"García","given":"Ivis","non-dropping-particle":"","parse-names":false,"suffix":""}],"container-title":"Research handbook on community development","id":"ITEM-1","issued":{"date-parts":[["2020"]]},"publisher":"Edward Elgar Publishing","title":"Asset-based community development (ABCD): Core principles","type":"chapter"},"uris":["http://www.mendeley.com/documents/?uuid=1c285cc7-6b6f-479d-bc0b-cd3ac47ef992"]}],"mendeley":{"formattedCitation":"(García, 2020)","plainTextFormattedCitation":"(García, 2020)","previouslyFormattedCitation":"[12]"},"properties":{"noteIndex":0},"schema":"https://github.com/citation-style-language/schema/raw/master/csl-citation.json"}</w:instrText>
      </w:r>
      <w:r w:rsidR="00627989" w:rsidRPr="00966C8A">
        <w:rPr>
          <w:rFonts w:ascii="Palatino Linotype" w:eastAsia="Times New Roman" w:hAnsi="Palatino Linotype"/>
          <w:snapToGrid w:val="0"/>
          <w:color w:val="000000"/>
          <w:spacing w:val="-2"/>
          <w:sz w:val="24"/>
          <w:szCs w:val="28"/>
          <w:lang w:val="en-US" w:eastAsia="de-DE" w:bidi="en-US"/>
        </w:rPr>
        <w:fldChar w:fldCharType="separate"/>
      </w:r>
      <w:r w:rsidR="003A65F3" w:rsidRPr="003A65F3">
        <w:rPr>
          <w:rFonts w:ascii="Palatino Linotype" w:eastAsia="Times New Roman" w:hAnsi="Palatino Linotype"/>
          <w:noProof/>
          <w:snapToGrid w:val="0"/>
          <w:color w:val="000000"/>
          <w:spacing w:val="-2"/>
          <w:sz w:val="24"/>
          <w:szCs w:val="28"/>
          <w:lang w:val="en-US" w:eastAsia="de-DE" w:bidi="en-US"/>
        </w:rPr>
        <w:t>(García, 2020)</w:t>
      </w:r>
      <w:r w:rsidR="00627989" w:rsidRPr="00966C8A">
        <w:rPr>
          <w:rFonts w:ascii="Palatino Linotype" w:eastAsia="Times New Roman" w:hAnsi="Palatino Linotype"/>
          <w:snapToGrid w:val="0"/>
          <w:color w:val="000000"/>
          <w:spacing w:val="-2"/>
          <w:sz w:val="24"/>
          <w:szCs w:val="28"/>
          <w:lang w:val="en-US" w:eastAsia="de-DE" w:bidi="en-US"/>
        </w:rPr>
        <w:fldChar w:fldCharType="end"/>
      </w:r>
      <w:r w:rsidR="00627989" w:rsidRPr="00966C8A">
        <w:rPr>
          <w:rFonts w:ascii="Palatino Linotype" w:eastAsia="Times New Roman" w:hAnsi="Palatino Linotype"/>
          <w:snapToGrid w:val="0"/>
          <w:color w:val="000000"/>
          <w:spacing w:val="-2"/>
          <w:sz w:val="24"/>
          <w:szCs w:val="28"/>
          <w:lang w:val="en-US" w:eastAsia="de-DE" w:bidi="en-US"/>
        </w:rPr>
        <w:t xml:space="preserve">. </w:t>
      </w:r>
    </w:p>
    <w:p w14:paraId="15FEEE66" w14:textId="77777777" w:rsidR="00627989" w:rsidRPr="006B7949" w:rsidRDefault="00000000" w:rsidP="00DF6DDC">
      <w:pPr>
        <w:pStyle w:val="ListParagraph"/>
        <w:adjustRightInd w:val="0"/>
        <w:snapToGrid w:val="0"/>
        <w:spacing w:before="240" w:after="120" w:line="276" w:lineRule="auto"/>
        <w:ind w:left="0"/>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FINDINGS</w:t>
      </w:r>
      <w:r w:rsidRPr="006B7949">
        <w:rPr>
          <w:rFonts w:ascii="Palatino Linotype" w:eastAsia="Arial" w:hAnsi="Palatino Linotype"/>
          <w:b/>
          <w:bCs/>
        </w:rPr>
        <w:t xml:space="preserve"> AND DISCUSSION </w:t>
      </w:r>
    </w:p>
    <w:p w14:paraId="700C85A2" w14:textId="77777777" w:rsidR="00DF6DDC" w:rsidRPr="000F6A98" w:rsidRDefault="00000000" w:rsidP="00DF6DDC">
      <w:pPr>
        <w:widowControl/>
        <w:adjustRightInd w:val="0"/>
        <w:snapToGrid w:val="0"/>
        <w:spacing w:line="276" w:lineRule="auto"/>
        <w:jc w:val="both"/>
        <w:rPr>
          <w:rFonts w:ascii="Palatino Linotype" w:eastAsia="Times New Roman" w:hAnsi="Palatino Linotype"/>
          <w:b/>
          <w:bCs/>
          <w:color w:val="000000"/>
          <w:sz w:val="24"/>
          <w:szCs w:val="24"/>
          <w:lang w:val="en-ID" w:eastAsia="en-ID"/>
        </w:rPr>
      </w:pPr>
      <w:r w:rsidRPr="000F6A98">
        <w:rPr>
          <w:rFonts w:ascii="Palatino Linotype" w:eastAsia="Times New Roman" w:hAnsi="Palatino Linotype"/>
          <w:b/>
          <w:bCs/>
          <w:color w:val="000000"/>
          <w:sz w:val="24"/>
          <w:szCs w:val="24"/>
          <w:lang w:val="en-ID" w:eastAsia="en-ID"/>
        </w:rPr>
        <w:t>Findings</w:t>
      </w:r>
    </w:p>
    <w:p w14:paraId="2B6F9C1A"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sidRPr="00E21901">
        <w:rPr>
          <w:rFonts w:ascii="Palatino Linotype" w:eastAsia="Times New Roman" w:hAnsi="Palatino Linotype"/>
          <w:color w:val="000000"/>
          <w:sz w:val="24"/>
          <w:szCs w:val="24"/>
          <w:lang w:val="en-ID" w:eastAsia="en-ID"/>
        </w:rPr>
        <w:t>Evaluating Governance, Risk Management, and Compliance (GRC) policies in supporting sustainability and corporate social responsibility (CSR) revealed several critical insights that underscore the importance of integrated frameworks in contemporary organizational practices. The quantitative analysis indicated that organizations with well-defined GRC policies reported significantly higher engagement levels in sustainability initiatives than those with less structured approaches. Specifically, organizations that actively integrated GRC practices demonstrated a 30% increase in their ability to meet sustainability targets, suggesting a strong correlation between robust GRC frameworks and effective sustainability outcomes.</w:t>
      </w:r>
    </w:p>
    <w:p w14:paraId="73C45BD9"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sidRPr="00E21901">
        <w:rPr>
          <w:rFonts w:ascii="Palatino Linotype" w:eastAsia="Times New Roman" w:hAnsi="Palatino Linotype"/>
          <w:color w:val="000000"/>
          <w:sz w:val="24"/>
          <w:szCs w:val="24"/>
          <w:lang w:val="en-ID" w:eastAsia="en-ID"/>
        </w:rPr>
        <w:t>In addition to the quantitative findings, qualitative interviews provided a deeper understanding of the mechanisms through which GRC policies support sustainability and CSR. Stakeholders consistently emphasized the role of effective governance in promoting accountability and transparency within organizations. Many participants noted that clear governance structures facilitated better decision-making processes, allowing organizations to respond more effectively to environmental and social challenges. For example, one interviewee highlighted how a dedicated sustainability committee, governed by GRC policies, was instrumental in driving initiatives that reduced waste and improved resource efficiency across operations.</w:t>
      </w:r>
    </w:p>
    <w:p w14:paraId="4F047BD5"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sidRPr="00E21901">
        <w:rPr>
          <w:rFonts w:ascii="Palatino Linotype" w:eastAsia="Times New Roman" w:hAnsi="Palatino Linotype"/>
          <w:color w:val="000000"/>
          <w:sz w:val="24"/>
          <w:szCs w:val="24"/>
          <w:lang w:val="en-ID" w:eastAsia="en-ID"/>
        </w:rPr>
        <w:t>Furthermore, risk management emerged as a vital component in aligning GRC policies with sustainability objectives. Participants articulated that a proactive approach to identifying and mitigating risks associated with environmental and social issues enabled organizations to navigate potential pitfalls that could undermine their CSR commitments. The research identified specific risk management strategies, such as conducting regular impact assessments and stakeholder engagement initiatives, which were crucial for understanding community needs and enhancing organizational reputation. This proactive stance minimized risks and positioned organizations as leaders in their respective industries regarding sustainability practices.</w:t>
      </w:r>
    </w:p>
    <w:p w14:paraId="7A0F78B6"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sidRPr="00E21901">
        <w:rPr>
          <w:rFonts w:ascii="Palatino Linotype" w:eastAsia="Times New Roman" w:hAnsi="Palatino Linotype"/>
          <w:color w:val="000000"/>
          <w:sz w:val="24"/>
          <w:szCs w:val="24"/>
          <w:lang w:val="en-ID" w:eastAsia="en-ID"/>
        </w:rPr>
        <w:t xml:space="preserve">Compliance with regulations and standards was also highlighted as a critical aspect of effective GRC frameworks. The findings indicated that organizations that prioritized compliance fulfilled their legal obligations and cultivated a culture of ethical behavior that resonated with stakeholders. Interviewees noted that transparent </w:t>
      </w:r>
      <w:r w:rsidRPr="00E21901">
        <w:rPr>
          <w:rFonts w:ascii="Palatino Linotype" w:eastAsia="Times New Roman" w:hAnsi="Palatino Linotype"/>
          <w:color w:val="000000"/>
          <w:sz w:val="24"/>
          <w:szCs w:val="24"/>
          <w:lang w:val="en-ID" w:eastAsia="en-ID"/>
        </w:rPr>
        <w:lastRenderedPageBreak/>
        <w:t>reporting practices, supported by GRC policies, enhanced stakeholder trust and fostered positive relationships with communities. This trust was essential for successful CSR initiatives, as it enabled organizations to collaborate more effectively with stakeholders and leverage their insights for improved sustainability outcomes</w:t>
      </w:r>
      <w:r w:rsidR="00D740F9">
        <w:rPr>
          <w:rFonts w:ascii="Palatino Linotype" w:eastAsia="Times New Roman" w:hAnsi="Palatino Linotype"/>
          <w:color w:val="000000"/>
          <w:sz w:val="24"/>
          <w:szCs w:val="24"/>
          <w:lang w:val="en-ID" w:eastAsia="en-ID"/>
        </w:rPr>
        <w:t xml:space="preserve"> </w:t>
      </w:r>
      <w:r w:rsidR="00D740F9">
        <w:rPr>
          <w:rFonts w:ascii="Palatino Linotype" w:eastAsia="Times New Roman" w:hAnsi="Palatino Linotype"/>
          <w:color w:val="000000"/>
          <w:sz w:val="24"/>
          <w:szCs w:val="24"/>
          <w:lang w:val="en-ID" w:eastAsia="en-ID"/>
        </w:rPr>
        <w:fldChar w:fldCharType="begin" w:fldLock="1"/>
      </w:r>
      <w:r w:rsidR="003A65F3">
        <w:rPr>
          <w:rFonts w:ascii="Palatino Linotype" w:eastAsia="Times New Roman" w:hAnsi="Palatino Linotype"/>
          <w:color w:val="000000"/>
          <w:sz w:val="24"/>
          <w:szCs w:val="24"/>
          <w:lang w:val="en-ID" w:eastAsia="en-ID"/>
        </w:rPr>
        <w:instrText>ADDIN CSL_CITATION {"citationItems":[{"id":"ITEM-1","itemData":{"DOI":"10.1016/j.resenv.2021.100014","ISSN":"26669161","abstract":"On 30 June 2020, young scholars presented &amp; discussed their work in a virtual forum, as a special session organized by The 15th International Conference on Waste Management and Technology (June 28–30), 2020 Beijing China. The forum convened researchers and attendees approaching innovative aspects of waste management from a variety of perspectives and disciplines. While their presentations spanned topics as broad as the stakeholder coordination and as specific technological approach for rapid carbonization of agricultural waste, several conceptual threads could be traced across them.","author":[{"dropping-particle":"","family":"Awasthi","given":"Abhishek Kumar","non-dropping-particle":"","parse-names":false,"suffix":""},{"dropping-particle":"","family":"Cheela","given":"V. R.Sankar","non-dropping-particle":"","parse-names":false,"suffix":""},{"dropping-particle":"","family":"D'Adamo","given":"Idiano","non-dropping-particle":"","parse-names":false,"suffix":""},{"dropping-particle":"","family":"Iacovidou","given":"Eleni","non-dropping-particle":"","parse-names":false,"suffix":""},{"dropping-particle":"","family":"Islam","given":"M. Rafizul","non-dropping-particle":"","parse-names":false,"suffix":""},{"dropping-particle":"","family":"Johnson","given":"Michael","non-dropping-particle":"","parse-names":false,"suffix":""},{"dropping-particle":"","family":"Miller","given":"T. Reed","non-dropping-particle":"","parse-names":false,"suffix":""},{"dropping-particle":"","family":"Parajuly","given":"Keshav","non-dropping-particle":"","parse-names":false,"suffix":""},{"dropping-particle":"","family":"Parchomenko","given":"Alexej","non-dropping-particle":"","parse-names":false,"suffix":""},{"dropping-particle":"","family":"Radhakrishan","given":"Loganath","non-dropping-particle":"","parse-names":false,"suffix":""},{"dropping-particle":"","family":"Zhao","given":"Min","non-dropping-particle":"","parse-names":false,"suffix":""},{"dropping-particle":"","family":"Zhang","given":"Caili","non-dropping-particle":"","parse-names":false,"suffix":""},{"dropping-particle":"","family":"Li","given":"Jinhui","non-dropping-particle":"","parse-names":false,"suffix":""}],"container-title":"Resources, Environment and Sustainability","id":"ITEM-1","issue":"January","issued":{"date-parts":[["2021"]]},"page":"100014","publisher":"Elsevier Ltd.","title":"Zero waste approach towards a sustainable waste management","type":"article-journal","volume":"3"},"uris":["http://www.mendeley.com/documents/?uuid=ff2c3424-5906-426d-bcb7-e640d8cd0c01"]}],"mendeley":{"formattedCitation":"(Awasthi et al., 2021)","plainTextFormattedCitation":"(Awasthi et al., 2021)","previouslyFormattedCitation":"[13]"},"properties":{"noteIndex":0},"schema":"https://github.com/citation-style-language/schema/raw/master/csl-citation.json"}</w:instrText>
      </w:r>
      <w:r w:rsidR="00D740F9">
        <w:rPr>
          <w:rFonts w:ascii="Palatino Linotype" w:eastAsia="Times New Roman" w:hAnsi="Palatino Linotype"/>
          <w:color w:val="000000"/>
          <w:sz w:val="24"/>
          <w:szCs w:val="24"/>
          <w:lang w:val="en-ID" w:eastAsia="en-ID"/>
        </w:rPr>
        <w:fldChar w:fldCharType="separate"/>
      </w:r>
      <w:r w:rsidR="003A65F3" w:rsidRPr="003A65F3">
        <w:rPr>
          <w:rFonts w:ascii="Palatino Linotype" w:eastAsia="Times New Roman" w:hAnsi="Palatino Linotype"/>
          <w:noProof/>
          <w:color w:val="000000"/>
          <w:sz w:val="24"/>
          <w:szCs w:val="24"/>
          <w:lang w:val="en-ID" w:eastAsia="en-ID"/>
        </w:rPr>
        <w:t>(Awasthi et al., 2021)</w:t>
      </w:r>
      <w:r w:rsidR="00D740F9">
        <w:rPr>
          <w:rFonts w:ascii="Palatino Linotype" w:eastAsia="Times New Roman" w:hAnsi="Palatino Linotype"/>
          <w:color w:val="000000"/>
          <w:sz w:val="24"/>
          <w:szCs w:val="24"/>
          <w:lang w:val="en-ID" w:eastAsia="en-ID"/>
        </w:rPr>
        <w:fldChar w:fldCharType="end"/>
      </w:r>
      <w:r w:rsidRPr="00E21901">
        <w:rPr>
          <w:rFonts w:ascii="Palatino Linotype" w:eastAsia="Times New Roman" w:hAnsi="Palatino Linotype"/>
          <w:color w:val="000000"/>
          <w:sz w:val="24"/>
          <w:szCs w:val="24"/>
          <w:lang w:val="en-ID" w:eastAsia="en-ID"/>
        </w:rPr>
        <w:t>.</w:t>
      </w:r>
    </w:p>
    <w:p w14:paraId="3E96D242"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sidRPr="00E21901">
        <w:rPr>
          <w:rFonts w:ascii="Palatino Linotype" w:eastAsia="Times New Roman" w:hAnsi="Palatino Linotype"/>
          <w:color w:val="000000"/>
          <w:sz w:val="24"/>
          <w:szCs w:val="24"/>
          <w:lang w:val="en-ID" w:eastAsia="en-ID"/>
        </w:rPr>
        <w:t>Finally, the research underscored the need for continuous improvement and adaptation of GRC policies in response to evolving sustainability challenges. Participants acknowledged that while their organizations had made significant strides, the dynamic nature of environmental and social issues necessitated ongoing evaluation and refinement of GRC practices</w:t>
      </w:r>
      <w:r w:rsidR="00D740F9">
        <w:rPr>
          <w:rFonts w:ascii="Palatino Linotype" w:eastAsia="Times New Roman" w:hAnsi="Palatino Linotype"/>
          <w:color w:val="000000"/>
          <w:sz w:val="24"/>
          <w:szCs w:val="24"/>
          <w:lang w:val="en-ID" w:eastAsia="en-ID"/>
        </w:rPr>
        <w:t xml:space="preserve"> </w:t>
      </w:r>
      <w:r w:rsidR="00D740F9">
        <w:rPr>
          <w:rFonts w:ascii="Palatino Linotype" w:eastAsia="Times New Roman" w:hAnsi="Palatino Linotype"/>
          <w:color w:val="000000"/>
          <w:sz w:val="24"/>
          <w:szCs w:val="24"/>
          <w:lang w:val="en-ID" w:eastAsia="en-ID"/>
        </w:rPr>
        <w:fldChar w:fldCharType="begin" w:fldLock="1"/>
      </w:r>
      <w:r w:rsidR="003A65F3">
        <w:rPr>
          <w:rFonts w:ascii="Palatino Linotype" w:eastAsia="Times New Roman" w:hAnsi="Palatino Linotype"/>
          <w:color w:val="000000"/>
          <w:sz w:val="24"/>
          <w:szCs w:val="24"/>
          <w:lang w:val="en-ID" w:eastAsia="en-ID"/>
        </w:rPr>
        <w:instrText>ADDIN CSL_CITATION {"citationItems":[{"id":"ITEM-1","itemData":{"ISSN":"0160-791X","author":[{"dropping-particle":"","family":"Torkayesh","given":"Ali Ebadi","non-dropping-particle":"","parse-names":false,"suffix":""},{"dropping-particle":"","family":"Torkayesh","given":"Sajjad Ebadi","non-dropping-particle":"","parse-names":false,"suffix":""}],"container-title":"Technology in Society","id":"ITEM-1","issued":{"date-parts":[["2021"]]},"page":"101670","publisher":"Elsevier","title":"Evaluation of information and communication technology development in G7 countries: An integrated MCDM approach","type":"article-journal","volume":"66"},"uris":["http://www.mendeley.com/documents/?uuid=40293fdb-f7cd-40b7-bb4f-f6b28a961032"]}],"mendeley":{"formattedCitation":"(Torkayesh &amp; Torkayesh, 2021)","plainTextFormattedCitation":"(Torkayesh &amp; Torkayesh, 2021)","previouslyFormattedCitation":"[14]"},"properties":{"noteIndex":0},"schema":"https://github.com/citation-style-language/schema/raw/master/csl-citation.json"}</w:instrText>
      </w:r>
      <w:r w:rsidR="00D740F9">
        <w:rPr>
          <w:rFonts w:ascii="Palatino Linotype" w:eastAsia="Times New Roman" w:hAnsi="Palatino Linotype"/>
          <w:color w:val="000000"/>
          <w:sz w:val="24"/>
          <w:szCs w:val="24"/>
          <w:lang w:val="en-ID" w:eastAsia="en-ID"/>
        </w:rPr>
        <w:fldChar w:fldCharType="separate"/>
      </w:r>
      <w:r w:rsidR="003A65F3" w:rsidRPr="003A65F3">
        <w:rPr>
          <w:rFonts w:ascii="Palatino Linotype" w:eastAsia="Times New Roman" w:hAnsi="Palatino Linotype"/>
          <w:noProof/>
          <w:color w:val="000000"/>
          <w:sz w:val="24"/>
          <w:szCs w:val="24"/>
          <w:lang w:val="en-ID" w:eastAsia="en-ID"/>
        </w:rPr>
        <w:t>(Torkayesh &amp; Torkayesh, 2021)</w:t>
      </w:r>
      <w:r w:rsidR="00D740F9">
        <w:rPr>
          <w:rFonts w:ascii="Palatino Linotype" w:eastAsia="Times New Roman" w:hAnsi="Palatino Linotype"/>
          <w:color w:val="000000"/>
          <w:sz w:val="24"/>
          <w:szCs w:val="24"/>
          <w:lang w:val="en-ID" w:eastAsia="en-ID"/>
        </w:rPr>
        <w:fldChar w:fldCharType="end"/>
      </w:r>
      <w:r w:rsidRPr="00E21901">
        <w:rPr>
          <w:rFonts w:ascii="Palatino Linotype" w:eastAsia="Times New Roman" w:hAnsi="Palatino Linotype"/>
          <w:color w:val="000000"/>
          <w:sz w:val="24"/>
          <w:szCs w:val="24"/>
          <w:lang w:val="en-ID" w:eastAsia="en-ID"/>
        </w:rPr>
        <w:t>. This emphasis on adaptability ensures that organizations remain responsive to emerging trends and stakeholder expectations, ultimately leading to more impactful sustainability and CSR efforts.</w:t>
      </w:r>
    </w:p>
    <w:p w14:paraId="3B0CF66F" w14:textId="77777777" w:rsidR="00DF6DDC" w:rsidRDefault="00000000" w:rsidP="00E21901">
      <w:pPr>
        <w:widowControl/>
        <w:adjustRightInd w:val="0"/>
        <w:snapToGrid w:val="0"/>
        <w:spacing w:line="276" w:lineRule="auto"/>
        <w:ind w:firstLine="567"/>
        <w:jc w:val="both"/>
        <w:rPr>
          <w:rFonts w:ascii="Palatino Linotype" w:eastAsia="Times New Roman" w:hAnsi="Palatino Linotype"/>
          <w:color w:val="000000"/>
          <w:sz w:val="24"/>
          <w:szCs w:val="24"/>
          <w:lang w:val="en-ID" w:eastAsia="en-ID"/>
        </w:rPr>
      </w:pPr>
      <w:r>
        <w:rPr>
          <w:rFonts w:ascii="Palatino Linotype" w:eastAsia="Times New Roman" w:hAnsi="Palatino Linotype"/>
          <w:color w:val="000000"/>
          <w:sz w:val="24"/>
          <w:szCs w:val="24"/>
          <w:lang w:val="en-ID" w:eastAsia="en-ID"/>
        </w:rPr>
        <w:t>T</w:t>
      </w:r>
      <w:r w:rsidRPr="00E21901">
        <w:rPr>
          <w:rFonts w:ascii="Palatino Linotype" w:eastAsia="Times New Roman" w:hAnsi="Palatino Linotype"/>
          <w:color w:val="000000"/>
          <w:sz w:val="24"/>
          <w:szCs w:val="24"/>
          <w:lang w:val="en-ID" w:eastAsia="en-ID"/>
        </w:rPr>
        <w:t>he evaluation of GRC policies revealed that their integration is crucial for supporting sustainability and CSR initiatives. The findings advocate for organizations to adopt comprehensive GRC frameworks that comply with regulatory requirements and foster a culture of sustainability and ethical responsibility</w:t>
      </w:r>
      <w:r w:rsidR="008930C9">
        <w:rPr>
          <w:rFonts w:ascii="Palatino Linotype" w:eastAsia="Times New Roman" w:hAnsi="Palatino Linotype"/>
          <w:color w:val="000000"/>
          <w:sz w:val="24"/>
          <w:szCs w:val="24"/>
          <w:lang w:val="en-ID" w:eastAsia="en-ID"/>
        </w:rPr>
        <w:t xml:space="preserve"> </w:t>
      </w:r>
      <w:r w:rsidR="008930C9">
        <w:rPr>
          <w:rFonts w:ascii="Palatino Linotype" w:eastAsia="Times New Roman" w:hAnsi="Palatino Linotype"/>
          <w:color w:val="000000"/>
          <w:sz w:val="24"/>
          <w:szCs w:val="24"/>
          <w:lang w:val="en-ID" w:eastAsia="en-ID"/>
        </w:rPr>
        <w:fldChar w:fldCharType="begin" w:fldLock="1"/>
      </w:r>
      <w:r w:rsidR="003A65F3">
        <w:rPr>
          <w:rFonts w:ascii="Palatino Linotype" w:eastAsia="Times New Roman" w:hAnsi="Palatino Linotype"/>
          <w:color w:val="000000"/>
          <w:sz w:val="24"/>
          <w:szCs w:val="24"/>
          <w:lang w:val="en-ID" w:eastAsia="en-ID"/>
        </w:rPr>
        <w:instrText>ADDIN CSL_CITATION {"citationItems":[{"id":"ITEM-1","itemData":{"DOI":"10.29264/jinv.v18i3.11545","abstract":"Penelitian ini bertujuan untuk mengetahui peranan Corporate Social Responsibility dalam meningkatkan pembangunan masyarakat desa Di Desa Sungai Payang, mengetahui implementasi dari program Corporate Social Responsibility, dan untuk mengetahui kendala yang dihadapi dalam penerapannya, Jenis penelitian yang digunakan adalah deskriptif metode kualitatif, dengan fokus penelitian peranan Corporate Social Responsibility meliputi : pembangunan infrastruktur, Peningkatan kompetensi sumber daya manusia, kesejahteraan masyarakat, fasilitas kesehatan, pengembangan kelembagaan BUMDes, implementasi program Corporate Social Responsibility dan kendala yang dihadapi dalam meningkatkan pembangunan masyarakat desa dengan adanya program CSR. Hasil penelitian dapat disimpulkan bahwa peranan Corporate Social Responsibility dalam meningkatkan pembangunan masyarakat desa di Sungai Payang Kecamatan Loa Kulu ternyata mempunyai implikasi dalam mendorong perubahan atau peningkatan pembangunan desa. Adanya perubahan terhadap perkembangan dan kesejahteraan masyarakat, dengan program pembangunan infrastruktur, bangunan fasilitas umum, peningkatan kompetensi SDM, kesejahteraan masyarakat baik ekonomi sosial, kesenian dan budaya. Impelementai CSR melalui tahap rancangan Induk program pemeberdayaan masyarakat, sosialisasi impelementasi, monitoring dan evaluasi dan pelaporan pelaksanaan. Kendala yang dihadapi yaitu kondisi geografis, potensi sumber daya manusia dan pasrtisipasi masyarakat.","author":[{"dropping-particle":"","family":"Gea","given":"Imelda Veronica","non-dropping-particle":"","parse-names":false,"suffix":""},{"dropping-particle":"","family":"Saleh","given":"Muhammad","non-dropping-particle":"","parse-names":false,"suffix":""},{"dropping-particle":"","family":"Suharto","given":"Rahcmad Budi","non-dropping-particle":"","parse-names":false,"suffix":""}],"container-title":"INOVASI: Jurnal Ekonomi, Keuangan dan Manajemen","id":"ITEM-1","issue":"3","issued":{"date-parts":[["2022"]]},"page":"551-560","title":"Peranan corporate social responsibility (CSR) terhadap tingkat pembangunan desa","type":"article-journal","volume":"18"},"uris":["http://www.mendeley.com/documents/?uuid=15a911e6-bd87-40fb-aa71-f26c28ff488e"]}],"mendeley":{"formattedCitation":"(Gea et al., 2022)","plainTextFormattedCitation":"(Gea et al., 2022)","previouslyFormattedCitation":"[15]"},"properties":{"noteIndex":0},"schema":"https://github.com/citation-style-language/schema/raw/master/csl-citation.json"}</w:instrText>
      </w:r>
      <w:r w:rsidR="008930C9">
        <w:rPr>
          <w:rFonts w:ascii="Palatino Linotype" w:eastAsia="Times New Roman" w:hAnsi="Palatino Linotype"/>
          <w:color w:val="000000"/>
          <w:sz w:val="24"/>
          <w:szCs w:val="24"/>
          <w:lang w:val="en-ID" w:eastAsia="en-ID"/>
        </w:rPr>
        <w:fldChar w:fldCharType="separate"/>
      </w:r>
      <w:r w:rsidR="003A65F3" w:rsidRPr="003A65F3">
        <w:rPr>
          <w:rFonts w:ascii="Palatino Linotype" w:eastAsia="Times New Roman" w:hAnsi="Palatino Linotype"/>
          <w:noProof/>
          <w:color w:val="000000"/>
          <w:sz w:val="24"/>
          <w:szCs w:val="24"/>
          <w:lang w:val="en-ID" w:eastAsia="en-ID"/>
        </w:rPr>
        <w:t>(Gea et al., 2022)</w:t>
      </w:r>
      <w:r w:rsidR="008930C9">
        <w:rPr>
          <w:rFonts w:ascii="Palatino Linotype" w:eastAsia="Times New Roman" w:hAnsi="Palatino Linotype"/>
          <w:color w:val="000000"/>
          <w:sz w:val="24"/>
          <w:szCs w:val="24"/>
          <w:lang w:val="en-ID" w:eastAsia="en-ID"/>
        </w:rPr>
        <w:fldChar w:fldCharType="end"/>
      </w:r>
      <w:r w:rsidRPr="00E21901">
        <w:rPr>
          <w:rFonts w:ascii="Palatino Linotype" w:eastAsia="Times New Roman" w:hAnsi="Palatino Linotype"/>
          <w:color w:val="000000"/>
          <w:sz w:val="24"/>
          <w:szCs w:val="24"/>
          <w:lang w:val="en-ID" w:eastAsia="en-ID"/>
        </w:rPr>
        <w:t>. By leveraging effective governance, proactive risk management, and stringent compliance, organizations can enhance their sustainability performance and contribute positively to the broader societal context.</w:t>
      </w:r>
    </w:p>
    <w:p w14:paraId="7B56CC99" w14:textId="77777777" w:rsidR="00ED0E95" w:rsidRPr="000F6A98" w:rsidRDefault="00ED0E95" w:rsidP="00ED0E95">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p>
    <w:p w14:paraId="4BF40656" w14:textId="77777777" w:rsidR="00DF6DDC" w:rsidRPr="000F6A98" w:rsidRDefault="00000000" w:rsidP="00DF6DDC">
      <w:pPr>
        <w:widowControl/>
        <w:adjustRightInd w:val="0"/>
        <w:snapToGrid w:val="0"/>
        <w:spacing w:line="276" w:lineRule="auto"/>
        <w:jc w:val="both"/>
        <w:rPr>
          <w:rFonts w:ascii="Palatino Linotype" w:eastAsia="Arial" w:hAnsi="Palatino Linotype"/>
          <w:b/>
          <w:bCs/>
          <w:snapToGrid w:val="0"/>
          <w:color w:val="000000"/>
          <w:sz w:val="24"/>
          <w:szCs w:val="24"/>
          <w:lang w:val="en-US" w:eastAsia="de-DE" w:bidi="en-US"/>
        </w:rPr>
      </w:pPr>
      <w:r w:rsidRPr="000F6A98">
        <w:rPr>
          <w:rFonts w:ascii="Palatino Linotype" w:eastAsia="Arial" w:hAnsi="Palatino Linotype"/>
          <w:b/>
          <w:bCs/>
          <w:snapToGrid w:val="0"/>
          <w:color w:val="000000"/>
          <w:sz w:val="24"/>
          <w:szCs w:val="24"/>
          <w:lang w:val="en-US" w:eastAsia="de-DE" w:bidi="en-US"/>
        </w:rPr>
        <w:t>Discussion</w:t>
      </w:r>
    </w:p>
    <w:p w14:paraId="6BA3FBB7" w14:textId="77777777" w:rsidR="00E21901" w:rsidRPr="00E21901"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r w:rsidRPr="00E21901">
        <w:rPr>
          <w:rFonts w:ascii="Palatino Linotype" w:eastAsia="Arial" w:hAnsi="Palatino Linotype"/>
          <w:snapToGrid w:val="0"/>
          <w:color w:val="000000"/>
          <w:sz w:val="24"/>
          <w:szCs w:val="24"/>
          <w:lang w:val="en-US" w:eastAsia="de-DE" w:bidi="en-US"/>
        </w:rPr>
        <w:t>The findings from the evaluation of Governance, Risk Management, and Compliance (GRC) policies in supporting sustainability and corporate social responsibility (CSR) reveal a significant alignment with existing theoretical frameworks and previous empirical research in this domain. The results confirm the notion that robust GRC policies are instrumental in fostering effective sustainability initiatives and enhancing CSR outcomes. Previous studies have highlighted similar correlations, suggesting that organizations with integrated GRC frameworks tend to perform better in their sustainability efforts</w:t>
      </w:r>
      <w:r w:rsidR="008930C9">
        <w:rPr>
          <w:rFonts w:ascii="Palatino Linotype" w:eastAsia="Arial" w:hAnsi="Palatino Linotype"/>
          <w:snapToGrid w:val="0"/>
          <w:color w:val="000000"/>
          <w:sz w:val="24"/>
          <w:szCs w:val="24"/>
          <w:lang w:val="en-US" w:eastAsia="de-DE" w:bidi="en-US"/>
        </w:rPr>
        <w:t xml:space="preserve"> </w:t>
      </w:r>
      <w:r w:rsidR="008930C9">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2071-1050","author":[{"dropping-particle":"","family":"Malureanu","given":"Adriana","non-dropping-particle":"","parse-names":false,"suffix":""},{"dropping-particle":"","family":"Panisoara","given":"Georgeta","non-dropping-particle":"","parse-names":false,"suffix":""},{"dropping-particle":"","family":"Lazar","given":"Iulia","non-dropping-particle":"","parse-names":false,"suffix":""}],"container-title":"Sustainability","id":"ITEM-1","issue":"12","issued":{"date-parts":[["2021"]]},"page":"6633","publisher":"MDPI","title":"The relationship between self-confidence, self-efficacy, grit, usefulness, and ease of use of elearning platforms in corporate training during the COVID-19 pandemic","type":"article-journal","volume":"13"},"uris":["http://www.mendeley.com/documents/?uuid=cf4a370a-2e2c-4af7-a93e-ab6b01b08358"]}],"mendeley":{"formattedCitation":"(Malureanu et al., 2021)","plainTextFormattedCitation":"(Malureanu et al., 2021)","previouslyFormattedCitation":"[16]"},"properties":{"noteIndex":0},"schema":"https://github.com/citation-style-language/schema/raw/master/csl-citation.json"}</w:instrText>
      </w:r>
      <w:r w:rsidR="008930C9">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(Malureanu et al., 2021)</w:t>
      </w:r>
      <w:r w:rsidR="008930C9">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For instance, a study by</w:t>
      </w:r>
      <w:r w:rsidR="008930C9">
        <w:rPr>
          <w:rFonts w:ascii="Palatino Linotype" w:eastAsia="Arial" w:hAnsi="Palatino Linotype"/>
          <w:snapToGrid w:val="0"/>
          <w:color w:val="000000"/>
          <w:sz w:val="24"/>
          <w:szCs w:val="24"/>
          <w:lang w:val="en-US" w:eastAsia="de-DE" w:bidi="en-US"/>
        </w:rPr>
        <w:t xml:space="preserve"> </w:t>
      </w:r>
      <w:r w:rsidR="008930C9">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{"citationItems":[{"id":"ITEM-1","itemData":{"DOI":"10.24198/share.v8i2.20081","ISSN":"2339-0042","abstract":"ABSTRAKCorporate social responsibility merupakan salah satu bentuk kepatutan yang diberikan oleh perusahaan kepada masyarakat yang berada di sekitar perusahaan. Adanya tanggungjawab sosial perusahaan ini dapat memberikan sebuah perubahan positif di dalam kehidupan masyarakat atau komunitas. Pelaksanaan program corporate social responsibility oleh perusahaan seharusnya dapat memunculkan kemandirian masyarakat, karena dalam corporate social responsibility sendiri terdapat tipe implementasi pemberdayaan. Oleh sebab itu, perusahaan perlu mengedepankan program corporate social responsibility yang dapat meningkatkan kemandirian dan meningkatkan kesejahteraan masyarakat yang menjadi sasaran dalam target program. Pemberdayaan masyarakat menjadi salah satu upaya dan metode yang dapat digunakan oleh perusahaan dalam menciptakan kondisi masyarakat yang aktif, partisipatif dan mandiri. Hal ini dikarenakan dalam pemberdayaan masyarakat mendorong terciptanya masyarakat yang aktif dan partisipatif untuk mencapai tujuan yang ingin dicapai. Dengan demikian, jika sebauh perusahaan merancang program-program corporate social responsibility yang bertujuan untuk memandirikan masyarakat maka perusahaan harus menggunaka metode pemberdayaan masyarakat agar tercapainya pelaksanaan program corporate social responsibility yang membuat masyarakat menjadi berdaya, mandiri dan tidak ketergantungan. ABSTRACTCorporate social responsibility is one form of propriety provided by companies around the company. The existence of corporate social responsibility can provide positive responsibility in the life of the community or community. Implementing corporate social responsibility programs by companies that can bring about community independence, because in corporate social responsibility itself there is implementation of empowerment. Therefore, companies need to prioritize corporate social responsibility programs that can increase independence and improve the ability of the people who are targeted in the target program. Community empowerment is one of the efforts and methods that can be used by companies in creating conditions for an active, participatory and independent society. This is because in community empowerment the creation of an active and participatory community to achieve the goals to be achieved. Thus, if a company is adjusted to corporate social responsibility programs that aim to empower the community, the company must use the method of community empowerment to achieve the im…","author":[{"dropping-particle":"","family":"Rahmadani","given":"Rahmadani","non-dropping-particle":"","parse-names":false,"suffix":""},{"dropping-particle":"","family":"Raharjo","given":"Santoso Tri","non-dropping-particle":"","parse-names":false,"suffix":""},{"dropping-particle":"","family":"Resnawaty","given":"Risna","non-dropping-particle":"","parse-names":false,"suffix":""}],"container-title":"Share : Social Work Journal","id":"ITEM-1","issue":"2","issued":{"date-parts":[["2019"]]},"page":"203","title":"Fungsi Corporate social responsibility (CSR) Dalam Pengembangan dan Pemberdayaan Masyarakat","type":"article-journal","volume":"8"},"uris":["http://www.mendeley.com/documents/?uuid=5c0d0868-2f24-4847-a3aa-40114e630799"]}],"mendeley":{"formattedCitation":"(Rahmadani et al., 2019)","plainTextFormattedCitation":"(Rahmadani et al., 2019)","previouslyFormattedCitation":"[17]"},"properties":{"noteIndex":0},"schema":"https://github.com/citation-style-language/schema/raw/master/csl-citation.json"}</w:instrText>
      </w:r>
      <w:r w:rsidR="008930C9">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(Rahmadani et al., 2019)</w:t>
      </w:r>
      <w:r w:rsidR="008930C9">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xml:space="preserve"> found that companies demonstrating high governance and compliance standards reported stronger financial performance, which aligns with the current research indicating that GRC practices lead to improved sustainability targets.</w:t>
      </w:r>
    </w:p>
    <w:p w14:paraId="0CFC7998" w14:textId="77777777" w:rsidR="00E21901" w:rsidRPr="00E21901"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r w:rsidRPr="00E21901">
        <w:rPr>
          <w:rFonts w:ascii="Palatino Linotype" w:eastAsia="Arial" w:hAnsi="Palatino Linotype"/>
          <w:snapToGrid w:val="0"/>
          <w:color w:val="000000"/>
          <w:sz w:val="24"/>
          <w:szCs w:val="24"/>
          <w:lang w:val="en-US" w:eastAsia="de-DE" w:bidi="en-US"/>
        </w:rPr>
        <w:t xml:space="preserve">Moreover, the qualitative insights obtained from stakeholder interviews illuminate the mechanisms through which governance enhances accountability and </w:t>
      </w:r>
      <w:r w:rsidRPr="00E21901">
        <w:rPr>
          <w:rFonts w:ascii="Palatino Linotype" w:eastAsia="Arial" w:hAnsi="Palatino Linotype"/>
          <w:snapToGrid w:val="0"/>
          <w:color w:val="000000"/>
          <w:sz w:val="24"/>
          <w:szCs w:val="24"/>
          <w:lang w:val="en-US" w:eastAsia="de-DE" w:bidi="en-US"/>
        </w:rPr>
        <w:lastRenderedPageBreak/>
        <w:t>transparency, a concept well-supported in the literature. Theories of stakeholder engagement assert that effective governance structures facilitate meaningful dialogue between organizations and their stakeholders, thus enhancing CSR effectiveness</w:t>
      </w:r>
      <w:r w:rsidR="008930C9">
        <w:rPr>
          <w:rFonts w:ascii="Palatino Linotype" w:eastAsia="Arial" w:hAnsi="Palatino Linotype"/>
          <w:snapToGrid w:val="0"/>
          <w:color w:val="000000"/>
          <w:sz w:val="24"/>
          <w:szCs w:val="24"/>
          <w:lang w:val="en-US" w:eastAsia="de-DE" w:bidi="en-US"/>
        </w:rPr>
        <w:t xml:space="preserve"> </w:t>
      </w:r>
      <w:r w:rsidR="008930C9">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{"citationItems":[{"id":"ITEM-1","itemData":{"ISSN":"2656-1786","author":[{"dropping-particle":"","family":"Riyanti","given":"Chika","non-dropping-particle":"","parse-names":false,"suffix":""},{"dropping-particle":"","family":"Raharjo","given":"Santoso Tri","non-dropping-particle":"","parse-names":false,"suffix":""}],"container-title":"Jurnal Kolaborasi Resolusi Konflik","id":"ITEM-1","issue":"1","issued":{"date-parts":[["2021"]]},"page":"112-126","title":"Asset Based Community Development Dalam Program Corporate Social Responsibility (Csr)","type":"article-journal","volume":"3"},"uris":["http://www.mendeley.com/documents/?uuid=ac724f09-cde0-4328-9174-c6c8622515c0"]}],"mendeley":{"formattedCitation":"(Riyanti &amp; Raharjo, 2021)","plainTextFormattedCitation":"(Riyanti &amp; Raharjo, 2021)","previouslyFormattedCitation":"[18]"},"properties":{"noteIndex":0},"schema":"https://github.com/citation-style-language/schema/raw/master/csl-citation.json"}</w:instrText>
      </w:r>
      <w:r w:rsidR="008930C9">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(Riyanti &amp; Raharjo, 2021)</w:t>
      </w:r>
      <w:r w:rsidR="008930C9">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The participants' emphasis on the role of dedicated sustainability committees as part of governance aligns with these theories, underscoring that strong governance ensures compliance and actively drives sustainability initiatives by fostering stakeholder collaboration.</w:t>
      </w:r>
    </w:p>
    <w:p w14:paraId="4CD17517" w14:textId="77777777" w:rsidR="00E21901" w:rsidRPr="00E21901"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r w:rsidRPr="00E21901">
        <w:rPr>
          <w:rFonts w:ascii="Palatino Linotype" w:eastAsia="Arial" w:hAnsi="Palatino Linotype"/>
          <w:snapToGrid w:val="0"/>
          <w:color w:val="000000"/>
          <w:sz w:val="24"/>
          <w:szCs w:val="24"/>
          <w:lang w:val="en-US" w:eastAsia="de-DE" w:bidi="en-US"/>
        </w:rPr>
        <w:t>As highlighted in the research findings, the role of risk management further reinforces the theoretical constructs surrounding the proactive identification and mitigation of environmental and social risks. Previous research has pointed out that organizations that integrate risk management into their strategic planning are better positioned to address the complexities of sustainability challenges</w:t>
      </w:r>
      <w:r w:rsidR="00AB054A">
        <w:rPr>
          <w:rFonts w:ascii="Palatino Linotype" w:eastAsia="Arial" w:hAnsi="Palatino Linotype"/>
          <w:snapToGrid w:val="0"/>
          <w:color w:val="000000"/>
          <w:sz w:val="24"/>
          <w:szCs w:val="24"/>
          <w:lang w:val="en-US" w:eastAsia="de-DE" w:bidi="en-US"/>
        </w:rPr>
        <w:t xml:space="preserve"> </w:t>
      </w:r>
      <w:r w:rsidR="00AB054A">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1836-3393","author":[{"dropping-particle":"","family":"Fanjoy","given":"Martha","non-dropping-particle":"","parse-names":false,"suffix":""},{"dropping-particle":"","family":"Bragg","given":"Bronwyn","non-dropping-particle":"","parse-names":false,"suffix":""}],"container-title":"Gateways: International Journal of Community Research and Engagement","id":"ITEM-1","issue":"1","issued":{"date-parts":[["2019"]]},"page":"ID-6342","title":"Embracing complexity: Co-creation with retired immigrant women","type":"article-journal","volume":"12"},"uris":["http://www.mendeley.com/documents/?uuid=349b4b21-c810-436c-b33a-3a656e23e8d2"]}],"mendeley":{"formattedCitation":"(Fanjoy &amp; Bragg, 2019)","plainTextFormattedCitation":"(Fanjoy &amp; Bragg, 2019)","previouslyFormattedCitation":"[19]"},"properties":{"noteIndex":0},"schema":"https://github.com/citation-style-language/schema/raw/master/csl-citation.json"}</w:instrText>
      </w:r>
      <w:r w:rsidR="00AB054A">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(Fanjoy &amp; Bragg, 2019)</w:t>
      </w:r>
      <w:r w:rsidR="00AB054A">
        <w:rPr>
          <w:rFonts w:ascii="Palatino Linotype" w:eastAsia="Arial" w:hAnsi="Palatino Linotype"/>
          <w:snapToGrid w:val="0"/>
          <w:color w:val="000000"/>
          <w:sz w:val="24"/>
          <w:szCs w:val="24"/>
          <w:lang w:val="en-US" w:eastAsia="de-DE" w:bidi="en-US"/>
        </w:rPr>
        <w:fldChar w:fldCharType="end"/>
      </w:r>
      <w:r w:rsidR="00005994">
        <w:rPr>
          <w:rFonts w:ascii="Palatino Linotype" w:eastAsia="Arial" w:hAnsi="Palatino Linotype"/>
          <w:snapToGrid w:val="0"/>
          <w:color w:val="000000"/>
          <w:sz w:val="24"/>
          <w:szCs w:val="24"/>
          <w:lang w:val="en-US" w:eastAsia="de-DE" w:bidi="en-US"/>
        </w:rPr>
        <w:t xml:space="preserve">; </w:t>
      </w:r>
      <w:r w:rsidR="00005994">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{"citationItems":[{"id":"ITEM-1","itemData":{"ISSN":"2071-1050","author":[{"dropping-particle":"","family":"Khaskheli","given":"Muhammad Bilawal","non-dropping-particle":"","parse-names":false,"suffix":""},{"dropping-particle":"","family":"Wang","given":"Shumin","non-dropping-particle":"","parse-names":false,"suffix":""},{"dropping-particle":"","family":"Yan","given":"Xiaoshan","non-dropping-particle":"","parse-names":false,"suffix":""},{"dropping-particle":"","family":"He","given":"Yuehan","non-dropping-particle":"","parse-names":false,"suffix":""}],"container-title":"Sustainability","id":"ITEM-1","issue":"2","issued":{"date-parts":[["2023"]]},"page":"1021","publisher":"MDPI","title":"Innovation of the social security, legal risks, sustainable management practices and employee environmental awareness in the China–Pakistan economic corridor","type":"article-journal","volume":"15"},"uris":["http://www.mendeley.com/documents/?uuid=9f2eb4e8-5c3d-4176-992e-3207c0995f05"]}],"mendeley":{"formattedCitation":"(Khaskheli et al., 2023)","plainTextFormattedCitation":"(Khaskheli et al., 2023)","previouslyFormattedCitation":"[20]"},"properties":{"noteIndex":0},"schema":"https://github.com/citation-style-language/schema/raw/master/csl-citation.json"}</w:instrText>
      </w:r>
      <w:r w:rsidR="00005994">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(Khaskheli et al., 2023)</w:t>
      </w:r>
      <w:r w:rsidR="00005994">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The findings from the current study, which show that organizations employing proactive risk management strategies reported better alignment with their sustainability goals, corroborate these theoretical insights</w:t>
      </w:r>
      <w:r w:rsidR="00005994">
        <w:rPr>
          <w:rFonts w:ascii="Palatino Linotype" w:eastAsia="Arial" w:hAnsi="Palatino Linotype"/>
          <w:snapToGrid w:val="0"/>
          <w:color w:val="000000"/>
          <w:sz w:val="24"/>
          <w:szCs w:val="24"/>
          <w:lang w:val="en-US" w:eastAsia="de-DE" w:bidi="en-US"/>
        </w:rPr>
        <w:t xml:space="preserve"> </w:t>
      </w:r>
      <w:r w:rsidR="00005994">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{"citationItems":[{"id":"ITEM-1","itemData":{"ISSN":"2071-1050","author":[{"dropping-particle":"","family":"Chaves-Avila","given":"Rafael","non-dropping-particle":"","parse-names":false,"suffix":""},{"dropping-particle":"","family":"Gallego-Bono","given":"Juan Ramon","non-dropping-particle":"","parse-names":false,"suffix":""}],"container-title":"Sustainability","id":"ITEM-1","issue":"10","issued":{"date-parts":[["2020"]]},"page":"4059","publisher":"MDPI","title":"Transformative policies for the social and solidarity economy: The new generation of public policies fostering the social economy in order to achieve sustainable development goals. The European and Spanish cases","type":"article-journal","volume":"12"},"uris":["http://www.mendeley.com/documents/?uuid=a859f661-940a-4bb1-9007-0b4436f9a383"]}],"mendeley":{"formattedCitation":"(Chaves-Avila &amp; Gallego-Bono, 2020)","plainTextFormattedCitation":"(Chaves-Avila &amp; Gallego-Bono, 2020)","previouslyFormattedCitation":"[21]"},"properties":{"noteIndex":0},"schema":"https://github.com/citation-style-language/schema/raw/master/csl-citation.json"}</w:instrText>
      </w:r>
      <w:r w:rsidR="00005994">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(Chaves-Avila &amp; Gallego-Bono, 2020)</w:t>
      </w:r>
      <w:r w:rsidR="00005994">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This synergy suggests that organizations that anticipate risks and integrate them into their GRC frameworks are more likely to succeed in achieving their CSR objectives.</w:t>
      </w:r>
    </w:p>
    <w:p w14:paraId="1A85C807" w14:textId="77777777" w:rsidR="00E21901" w:rsidRPr="00E21901"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r w:rsidRPr="00E21901">
        <w:rPr>
          <w:rFonts w:ascii="Palatino Linotype" w:eastAsia="Arial" w:hAnsi="Palatino Linotype"/>
          <w:snapToGrid w:val="0"/>
          <w:color w:val="000000"/>
          <w:sz w:val="24"/>
          <w:szCs w:val="24"/>
          <w:lang w:val="en-US" w:eastAsia="de-DE" w:bidi="en-US"/>
        </w:rPr>
        <w:t>Compliance emerged as another critical element linking GRC policies to sustainability and CSR. The research findings illustrate that organizations prioritizing compliance fulfill legal obligations and enhance their reputational capital, a notion echoed in theoretical literature. According to the legitimacy theory</w:t>
      </w:r>
      <w:r w:rsidR="00765E80">
        <w:rPr>
          <w:rFonts w:ascii="Palatino Linotype" w:eastAsia="Arial" w:hAnsi="Palatino Linotype"/>
          <w:snapToGrid w:val="0"/>
          <w:color w:val="000000"/>
          <w:sz w:val="24"/>
          <w:szCs w:val="24"/>
          <w:lang w:val="en-US" w:eastAsia="de-DE" w:bidi="en-US"/>
        </w:rPr>
        <w:t xml:space="preserve"> </w:t>
      </w:r>
      <w:r w:rsidR="00765E80">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{"citationItems":[{"id":"ITEM-1","itemData":{"ISBN":"1631902733","author":[{"dropping-particle":"","family":"Prasetiawati","given":"Prasetiawati","non-dropping-particle":"","parse-names":false,"suffix":""}],"container-title":"Proceedings of the First International Conference on Christian and Inter Religious Studies, ICCIRS 2019, December 11-14 2019, Manado, Indonesia","id":"ITEM-1","issued":{"date-parts":[["2020"]]},"title":"The Role of Religious Harmony Forum for Maintain Religious Life in Palangka Raya","type":"paper-conference"},"uris":["http://www.mendeley.com/documents/?uuid=3e1d7aa5-b6e6-47cb-9418-d68df9490be6"]}],"mendeley":{"formattedCitation":"(Prasetiawati, 2020)","plainTextFormattedCitation":"(Prasetiawati, 2020)","previouslyFormattedCitation":"[22]"},"properties":{"noteIndex":0},"schema":"https://github.com/citation-style-language/schema/raw/master/csl-citation.json"}</w:instrText>
      </w:r>
      <w:r w:rsidR="00765E80">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(Prasetiawati, 2020)</w:t>
      </w:r>
      <w:r w:rsidR="00765E80">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xml:space="preserve">, organizations seek to maintain legitimacy by adhering to societal norms and expectations, which in turn supports their CSR efforts. The participants’ insights into the importance of transparent reporting practices underscore this perspective, as they facilitate trust-building with stakeholders and create a favorable environment for CSR initiatives. </w:t>
      </w:r>
    </w:p>
    <w:p w14:paraId="195771C3" w14:textId="77777777" w:rsidR="00E21901" w:rsidRPr="00E21901"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4"/>
          <w:lang w:val="en-US" w:eastAsia="de-DE" w:bidi="en-US"/>
        </w:rPr>
      </w:pPr>
      <w:r w:rsidRPr="00E21901">
        <w:rPr>
          <w:rFonts w:ascii="Palatino Linotype" w:eastAsia="Arial" w:hAnsi="Palatino Linotype"/>
          <w:snapToGrid w:val="0"/>
          <w:color w:val="000000"/>
          <w:sz w:val="24"/>
          <w:szCs w:val="24"/>
          <w:lang w:val="en-US" w:eastAsia="de-DE" w:bidi="en-US"/>
        </w:rPr>
        <w:t>Furthermore, the emphasis on continuous improvement and adaptability of GRC policies in response to evolving sustainability challenges aligns with the dynamic capabilities framework proposed by</w:t>
      </w:r>
      <w:r w:rsidR="00765E80">
        <w:rPr>
          <w:rFonts w:ascii="Palatino Linotype" w:eastAsia="Arial" w:hAnsi="Palatino Linotype"/>
          <w:snapToGrid w:val="0"/>
          <w:color w:val="000000"/>
          <w:sz w:val="24"/>
          <w:szCs w:val="24"/>
          <w:lang w:val="en-US" w:eastAsia="de-DE" w:bidi="en-US"/>
        </w:rPr>
        <w:t xml:space="preserve"> </w:t>
      </w:r>
      <w:r w:rsidR="003A65F3">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0040-1625","author":[{"dropping-particle":"","family":"Junaid","given":"Muhammad","non-dropping-particle":"","parse-names":false,"suffix":""},{"dropping-particle":"","family":"Zhang","given":"Qingyu","non-dropping-particle":"","parse-names":false,"suffix":""},{"dropping-particle":"","family":"Cao","given":"Mei","non-dropping-particle":"","parse-names":false,"suffix":""},{"dropping-particle":"","family":"Luqman","given":"Adeel","non-dropping-particle":"","parse-names":false,"suffix":""}],"container-title":"Technological Forecasting and Social Change","id":"ITEM-1","issued":{"date-parts":[["2023"]]},"page":"122828","publisher":"Elsevier","title":"Nexus between technology enabled supply chain dynamic capabilities, integration, resilience, and sustainable performance: An empirical examination of healthcare organizations","type":"article-journal","volume":"196"},"uris":["http://www.mendeley.com/documents/?uuid=4e127bda-494e-48be-b920-e77146f4ce32"]}],"mendeley":{"formattedCitation":"(Junaid et al., 2023)","plainTextFormattedCitation":"(Junaid et al., 2023)","previouslyFormattedCitation":"[23]"},"properties":{"noteIndex":0},"schema":"https://github.com/citation-style-language/schema/raw/master/csl-citation.json"}</w:instrText>
      </w:r>
      <w:r w:rsidR="003A65F3">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(Junaid et al., 2023)</w:t>
      </w:r>
      <w:r w:rsidR="003A65F3">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The study’s findings that organizations recognize the need for ongoing evaluation and refinement of GRC practices highlight the importance of dynamic capabilities in fostering resilience and responsiveness in the face of changing environmental and social contexts</w:t>
      </w:r>
      <w:r w:rsidR="003A65F3">
        <w:rPr>
          <w:rFonts w:ascii="Palatino Linotype" w:eastAsia="Arial" w:hAnsi="Palatino Linotype"/>
          <w:snapToGrid w:val="0"/>
          <w:color w:val="000000"/>
          <w:sz w:val="24"/>
          <w:szCs w:val="24"/>
          <w:lang w:val="en-US" w:eastAsia="de-DE" w:bidi="en-US"/>
        </w:rPr>
        <w:t xml:space="preserve"> </w:t>
      </w:r>
      <w:r w:rsidR="003A65F3">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{"citationItems":[{"id":"ITEM-1","itemData":{"ISSN":"1360-3124","author":[{"dropping-particle":"","family":"Sarid","given":"Ariel","non-dropping-particle":"","parse-names":false,"suffix":""}],"container-title":"International Journal of Leadership in Education","id":"ITEM-1","issued":{"date-parts":[["2021"]]},"page":"1-22","publisher":"Taylor &amp; Francis","title":"Crossing boundaries: Connecting adaptive leadership and social justice leadership for educational contexts","type":"article-journal"},"uris":["http://www.mendeley.com/documents/?uuid=b5575552-f3f1-4afd-b505-6dae596a82bd"]}],"mendeley":{"formattedCitation":"(Sarid, 2021)","plainTextFormattedCitation":"(Sarid, 2021)","previouslyFormattedCitation":"[24]"},"properties":{"noteIndex":0},"schema":"https://github.com/citation-style-language/schema/raw/master/csl-citation.json"}</w:instrText>
      </w:r>
      <w:r w:rsidR="003A65F3">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(Sarid, 2021)</w:t>
      </w:r>
      <w:r w:rsidR="003A65F3">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 This theoretical perspective underscores that organizations capable of adapting their GRC frameworks are better equipped to tackle future sustainability challenges, reinforcing the need for flexibility in policy implementation</w:t>
      </w:r>
      <w:r w:rsidR="003A65F3">
        <w:rPr>
          <w:rFonts w:ascii="Palatino Linotype" w:eastAsia="Arial" w:hAnsi="Palatino Linotype"/>
          <w:snapToGrid w:val="0"/>
          <w:color w:val="000000"/>
          <w:sz w:val="24"/>
          <w:szCs w:val="24"/>
          <w:lang w:val="en-US" w:eastAsia="de-DE" w:bidi="en-US"/>
        </w:rPr>
        <w:t xml:space="preserve"> </w:t>
      </w:r>
      <w:r w:rsidR="003A65F3">
        <w:rPr>
          <w:rFonts w:ascii="Palatino Linotype" w:eastAsia="Arial" w:hAnsi="Palatino Linotype"/>
          <w:snapToGrid w:val="0"/>
          <w:color w:val="000000"/>
          <w:sz w:val="24"/>
          <w:szCs w:val="24"/>
          <w:lang w:val="en-US" w:eastAsia="de-DE" w:bidi="en-US"/>
        </w:rPr>
        <w:fldChar w:fldCharType="begin" w:fldLock="1"/>
      </w:r>
      <w:r w:rsidR="003A65F3">
        <w:rPr>
          <w:rFonts w:ascii="Palatino Linotype" w:eastAsia="Arial" w:hAnsi="Palatino Linotype"/>
          <w:snapToGrid w:val="0"/>
          <w:color w:val="000000"/>
          <w:sz w:val="24"/>
          <w:szCs w:val="24"/>
          <w:lang w:val="en-US" w:eastAsia="de-DE" w:bidi="en-US"/>
        </w:rPr>
        <w:instrText>ADDIN CSL_CITATION {"citationItems":[{"id":"ITEM-1","itemData":{"DOI":"10.1080/02188791.2020.1758032","ISSN":"17426855","abstract":"Like their global counterparts, e-learning platforms are an indispensable technology in many Asia Pacific tertiary institutions. Despite its widespread adoption, e-learning is still being criticized as merely mirroring traditional classroom formats but in digital forms. If tertiary institutions in Asia Pacific wish to harness e-learning and be globally recognized, they need to first overcome such criticisms by understanding what drives students’ satisfaction. Drawing on the community of inquiry (COI) model, this study attempts to determine the factors that underpin students’ satisfaction with their e-learning experience. Surveying students from a Malaysian university, this study shows that while cognitive presence and social presence influence e-learning satisfaction directly, teaching presence is mediated by cognitive and social presence. Furthermore, two environmental factors, content quality and perceived ease-of-use, moderate the relationships among the three presences and e-learning satisfaction. We argue that this extended and more comprehensive model would help educators better understand e-learning’s use as an effective pedagogical platform. We discuss the implications of the findings for higher education institutions and offer directions for future research.","author":[{"dropping-particle":"","family":"Lee","given":"Richard","non-dropping-particle":"","parse-names":false,"suffix":""},{"dropping-particle":"","family":"Hoe Looi","given":"Kim","non-dropping-particle":"","parse-names":false,"suffix":""},{"dropping-particle":"","family":"Faulkner","given":"Margaret","non-dropping-particle":"","parse-names":false,"suffix":""},{"dropping-particle":"","family":"Neale","given":"Larry","non-dropping-particle":"","parse-names":false,"suffix":""}],"container-title":"Asia Pacific Journal of Education","id":"ITEM-1","issue":"1","issued":{"date-parts":[["2021"]]},"title":"The moderating influence of environment factors in an extended community of inquiry model of e-learning","type":"article-journal","volume":"41"},"uris":["http://www.mendeley.com/documents/?uuid=8b83fffa-11e8-4220-8940-03f84b786e81"]}],"mendeley":{"formattedCitation":"(Lee et al., 2021)","plainTextFormattedCitation":"(Lee et al., 2021)","previouslyFormattedCitation":"[25]"},"properties":{"noteIndex":0},"schema":"https://github.com/citation-style-language/schema/raw/master/csl-citation.json"}</w:instrText>
      </w:r>
      <w:r w:rsidR="003A65F3">
        <w:rPr>
          <w:rFonts w:ascii="Palatino Linotype" w:eastAsia="Arial" w:hAnsi="Palatino Linotype"/>
          <w:snapToGrid w:val="0"/>
          <w:color w:val="000000"/>
          <w:sz w:val="24"/>
          <w:szCs w:val="24"/>
          <w:lang w:val="en-US" w:eastAsia="de-DE" w:bidi="en-US"/>
        </w:rPr>
        <w:fldChar w:fldCharType="separate"/>
      </w:r>
      <w:r w:rsidR="003A65F3" w:rsidRPr="003A65F3">
        <w:rPr>
          <w:rFonts w:ascii="Palatino Linotype" w:eastAsia="Arial" w:hAnsi="Palatino Linotype"/>
          <w:noProof/>
          <w:snapToGrid w:val="0"/>
          <w:color w:val="000000"/>
          <w:sz w:val="24"/>
          <w:szCs w:val="24"/>
          <w:lang w:val="en-US" w:eastAsia="de-DE" w:bidi="en-US"/>
        </w:rPr>
        <w:t>(Lee et al., 2021)</w:t>
      </w:r>
      <w:r w:rsidR="003A65F3">
        <w:rPr>
          <w:rFonts w:ascii="Palatino Linotype" w:eastAsia="Arial" w:hAnsi="Palatino Linotype"/>
          <w:snapToGrid w:val="0"/>
          <w:color w:val="000000"/>
          <w:sz w:val="24"/>
          <w:szCs w:val="24"/>
          <w:lang w:val="en-US" w:eastAsia="de-DE" w:bidi="en-US"/>
        </w:rPr>
        <w:fldChar w:fldCharType="end"/>
      </w:r>
      <w:r w:rsidRPr="00E21901">
        <w:rPr>
          <w:rFonts w:ascii="Palatino Linotype" w:eastAsia="Arial" w:hAnsi="Palatino Linotype"/>
          <w:snapToGrid w:val="0"/>
          <w:color w:val="000000"/>
          <w:sz w:val="24"/>
          <w:szCs w:val="24"/>
          <w:lang w:val="en-US" w:eastAsia="de-DE" w:bidi="en-US"/>
        </w:rPr>
        <w:t>.</w:t>
      </w:r>
    </w:p>
    <w:p w14:paraId="4AB408AD" w14:textId="77777777" w:rsidR="00DF6DDC" w:rsidRPr="006B7949" w:rsidRDefault="00000000" w:rsidP="00E21901">
      <w:pPr>
        <w:widowControl/>
        <w:adjustRightInd w:val="0"/>
        <w:snapToGrid w:val="0"/>
        <w:spacing w:line="276" w:lineRule="auto"/>
        <w:ind w:firstLine="567"/>
        <w:jc w:val="both"/>
        <w:rPr>
          <w:rFonts w:ascii="Palatino Linotype" w:eastAsia="Arial" w:hAnsi="Palatino Linotype"/>
          <w:snapToGrid w:val="0"/>
          <w:color w:val="000000"/>
          <w:sz w:val="24"/>
          <w:szCs w:val="28"/>
          <w:lang w:val="en-US" w:eastAsia="de-DE" w:bidi="en-US"/>
        </w:rPr>
      </w:pPr>
      <w:r w:rsidRPr="00E21901">
        <w:rPr>
          <w:rFonts w:ascii="Palatino Linotype" w:eastAsia="Arial" w:hAnsi="Palatino Linotype"/>
          <w:snapToGrid w:val="0"/>
          <w:color w:val="000000"/>
          <w:sz w:val="24"/>
          <w:szCs w:val="24"/>
          <w:lang w:val="en-US" w:eastAsia="de-DE" w:bidi="en-US"/>
        </w:rPr>
        <w:lastRenderedPageBreak/>
        <w:t>In summary, this research's findings affirm the relevance of existing theoretical frameworks and provide new insights into the interplay between GRC policies and sustainability/CSR outcomes. The alignment of the results with prior studies and theoretical concepts highlights the significance of comprehensive GRC frameworks in achieving sustainable practices and fostering a culture of corporate responsibility. This analysis underscores organizations' need to leverage governance, risk management, and compliance as interconnected components that can effectively drive sustainability and CSR, ultimately leading to long-term success and positive societal impact.</w:t>
      </w:r>
    </w:p>
    <w:p w14:paraId="77BDAF95" w14:textId="77777777" w:rsidR="00627989" w:rsidRPr="006B7949" w:rsidRDefault="00000000" w:rsidP="00EE0A43">
      <w:pPr>
        <w:pStyle w:val="ListParagraph"/>
        <w:adjustRightInd w:val="0"/>
        <w:snapToGrid w:val="0"/>
        <w:spacing w:before="240" w:after="120" w:line="276" w:lineRule="auto"/>
        <w:ind w:left="0"/>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CONCLUSION</w:t>
      </w:r>
      <w:r w:rsidRPr="006B7949">
        <w:rPr>
          <w:rFonts w:ascii="Palatino Linotype" w:eastAsia="Arial" w:hAnsi="Palatino Linotype"/>
          <w:b/>
          <w:bCs/>
        </w:rPr>
        <w:t xml:space="preserve"> </w:t>
      </w:r>
    </w:p>
    <w:p w14:paraId="4305E60F" w14:textId="77777777" w:rsidR="00E21901" w:rsidRPr="00E21901"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E21901">
        <w:rPr>
          <w:rFonts w:ascii="Palatino Linotype" w:eastAsia="Times New Roman" w:hAnsi="Palatino Linotype"/>
          <w:snapToGrid w:val="0"/>
          <w:color w:val="000000"/>
          <w:sz w:val="24"/>
          <w:szCs w:val="28"/>
          <w:lang w:val="en-US" w:eastAsia="de-DE" w:bidi="en-US"/>
        </w:rPr>
        <w:t>In conclusion, the analysis of the research findings highlights the critical role that Governance, Risk Management, and Compliance (GRC) policies play in supporting sustainability and corporate social responsibility (CSR). The integration of effective GRC frameworks facilitates compliance with legal and ethical standards and enhances organizational performance in sustainability initiatives. The alignment of the study's results with existing theoretical frameworks reinforces the notion that organizations leveraging robust GRC practices can navigate environmental and social challenges more effectively, ultimately leading to improved CSR outcomes. By establishing strong governance structures, adopting proactive risk management strategies, and prioritizing compliance, organizations can cultivate a culture of sustainability that resonates with stakeholders and enhances their reputation in the marketplace.</w:t>
      </w:r>
    </w:p>
    <w:p w14:paraId="54579BE6" w14:textId="77777777" w:rsidR="00CC090A" w:rsidRDefault="00000000" w:rsidP="00E21901">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E21901">
        <w:rPr>
          <w:rFonts w:ascii="Palatino Linotype" w:eastAsia="Times New Roman" w:hAnsi="Palatino Linotype"/>
          <w:snapToGrid w:val="0"/>
          <w:color w:val="000000"/>
          <w:sz w:val="24"/>
          <w:szCs w:val="28"/>
          <w:lang w:val="en-US" w:eastAsia="de-DE" w:bidi="en-US"/>
        </w:rPr>
        <w:t>Based on the insights gained from this research, future studies should focus on longitudinal analyses to assess the long-term impacts of GRC policies on sustainability and CSR performance. Additionally, exploring industry-specific case studies to understand the unique challenges and best practices related to GRC implementation across different sectors would be beneficial. By examining the nuances of GRC frameworks in various contexts, researchers can identify tailored strategies that organizations can adopt to enhance their sustainability efforts. Furthermore, future research should consider the evolving landscape of regulatory requirements and stakeholder expectations, investigating how organizations can remain agile and responsive to these changes while maintaining a commitment to sustainability and responsible corporate practices.</w:t>
      </w:r>
    </w:p>
    <w:p w14:paraId="4004A736" w14:textId="77777777" w:rsidR="00627989" w:rsidRPr="006B7949" w:rsidRDefault="00000000" w:rsidP="00C77739">
      <w:pPr>
        <w:pStyle w:val="ListParagraph"/>
        <w:adjustRightInd w:val="0"/>
        <w:snapToGrid w:val="0"/>
        <w:spacing w:before="240" w:after="120" w:line="276" w:lineRule="auto"/>
        <w:ind w:left="0"/>
        <w:jc w:val="both"/>
        <w:outlineLvl w:val="0"/>
        <w:rPr>
          <w:rFonts w:ascii="Palatino Linotype" w:hAnsi="Palatino Linotype"/>
          <w:b/>
          <w:snapToGrid w:val="0"/>
          <w:color w:val="000000"/>
          <w:szCs w:val="28"/>
          <w:lang w:eastAsia="zh-CN" w:bidi="en-US"/>
        </w:rPr>
      </w:pPr>
      <w:r w:rsidRPr="006B7949">
        <w:rPr>
          <w:rFonts w:ascii="Palatino Linotype" w:hAnsi="Palatino Linotype"/>
          <w:b/>
          <w:snapToGrid w:val="0"/>
          <w:color w:val="000000"/>
          <w:szCs w:val="28"/>
          <w:lang w:eastAsia="zh-CN" w:bidi="en-US"/>
        </w:rPr>
        <w:t>REFERENCES</w:t>
      </w:r>
      <w:r w:rsidR="00A8739F">
        <w:rPr>
          <w:rFonts w:ascii="Palatino Linotype" w:hAnsi="Palatino Linotype"/>
          <w:b/>
          <w:snapToGrid w:val="0"/>
          <w:color w:val="000000"/>
          <w:szCs w:val="28"/>
          <w:lang w:eastAsia="zh-CN" w:bidi="en-US"/>
        </w:rPr>
        <w:t xml:space="preserve"> </w:t>
      </w:r>
    </w:p>
    <w:p w14:paraId="0D8FA899" w14:textId="77777777" w:rsidR="003A65F3" w:rsidRPr="003A65F3" w:rsidRDefault="00627989" w:rsidP="003A65F3">
      <w:pPr>
        <w:autoSpaceDE w:val="0"/>
        <w:autoSpaceDN w:val="0"/>
        <w:adjustRightInd w:val="0"/>
        <w:spacing w:line="240" w:lineRule="auto"/>
        <w:ind w:left="480" w:hanging="480"/>
        <w:jc w:val="both"/>
        <w:rPr>
          <w:rFonts w:ascii="Palatino Linotype" w:hAnsi="Palatino Linotype"/>
          <w:noProof/>
          <w:sz w:val="24"/>
          <w:szCs w:val="24"/>
        </w:rPr>
      </w:pPr>
      <w:r w:rsidRPr="006B7949">
        <w:rPr>
          <w:rFonts w:ascii="Palatino Linotype" w:hAnsi="Palatino Linotype" w:cs="Arial"/>
          <w:sz w:val="28"/>
          <w:szCs w:val="28"/>
          <w:lang w:val="en-ID"/>
        </w:rPr>
        <w:fldChar w:fldCharType="begin" w:fldLock="1"/>
      </w:r>
      <w:r w:rsidRPr="006B7949">
        <w:rPr>
          <w:rFonts w:ascii="Palatino Linotype" w:hAnsi="Palatino Linotype" w:cs="Arial"/>
          <w:sz w:val="28"/>
          <w:szCs w:val="28"/>
          <w:lang w:val="en-ID"/>
        </w:rPr>
        <w:instrText xml:space="preserve">ADDIN Mendeley Bibliography CSL_BIBLIOGRAPHY </w:instrText>
      </w:r>
      <w:r w:rsidRPr="006B7949">
        <w:rPr>
          <w:rFonts w:ascii="Palatino Linotype" w:hAnsi="Palatino Linotype" w:cs="Arial"/>
          <w:sz w:val="28"/>
          <w:szCs w:val="28"/>
          <w:lang w:val="en-ID"/>
        </w:rPr>
        <w:fldChar w:fldCharType="separate"/>
      </w:r>
      <w:r w:rsidRPr="003A65F3">
        <w:rPr>
          <w:rFonts w:ascii="Palatino Linotype" w:hAnsi="Palatino Linotype"/>
          <w:noProof/>
          <w:sz w:val="24"/>
          <w:szCs w:val="24"/>
        </w:rPr>
        <w:t xml:space="preserve">Ap. Moreira, G., &amp; Wanda Rutkoskwi, E. (2021). Zero Waste Strategy for a Green Campus. </w:t>
      </w:r>
      <w:r w:rsidRPr="003A65F3">
        <w:rPr>
          <w:rFonts w:ascii="Palatino Linotype" w:hAnsi="Palatino Linotype"/>
          <w:i/>
          <w:iCs/>
          <w:noProof/>
          <w:sz w:val="24"/>
          <w:szCs w:val="24"/>
        </w:rPr>
        <w:t>Journal of Sustainability Perspectives</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w:t>
      </w:r>
      <w:r w:rsidRPr="003A65F3">
        <w:rPr>
          <w:rFonts w:ascii="Palatino Linotype" w:hAnsi="Palatino Linotype"/>
          <w:noProof/>
          <w:sz w:val="24"/>
          <w:szCs w:val="24"/>
        </w:rPr>
        <w:t>, 367–373. https://doi.org/10.14710/jsp.2021.12027</w:t>
      </w:r>
    </w:p>
    <w:p w14:paraId="5B43B139"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lastRenderedPageBreak/>
        <w:t xml:space="preserve">Awasthi, A. K., Cheela, V. R. S., D’Adamo, I., Iacovidou, E., Islam, M. R., Johnson, M., Miller, T. R., Parajuly, K., Parchomenko, A., Radhakrishan, L., Zhao, M., Zhang, C., &amp; Li, J. (2021). Zero waste approach towards a sustainable waste management. </w:t>
      </w:r>
      <w:r w:rsidRPr="003A65F3">
        <w:rPr>
          <w:rFonts w:ascii="Palatino Linotype" w:hAnsi="Palatino Linotype"/>
          <w:i/>
          <w:iCs/>
          <w:noProof/>
          <w:sz w:val="24"/>
          <w:szCs w:val="24"/>
        </w:rPr>
        <w:t>Resources, Environment and Sustainability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3</w:t>
      </w:r>
      <w:r w:rsidRPr="003A65F3">
        <w:rPr>
          <w:rFonts w:ascii="Palatino Linotype" w:hAnsi="Palatino Linotype"/>
          <w:noProof/>
          <w:sz w:val="24"/>
          <w:szCs w:val="24"/>
        </w:rPr>
        <w:t>(January), 100014. https://doi.org/10.1016/j.resenv.2021.100014</w:t>
      </w:r>
    </w:p>
    <w:p w14:paraId="4EF2C806"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Belderbos, R., Tong, T. W., &amp; Wu, S. (2020). Portfolio configuration and foreign entry decisions: A juxtaposition of real options and risk diversification theories. </w:t>
      </w:r>
      <w:r w:rsidRPr="003A65F3">
        <w:rPr>
          <w:rFonts w:ascii="Palatino Linotype" w:hAnsi="Palatino Linotype"/>
          <w:i/>
          <w:iCs/>
          <w:noProof/>
          <w:sz w:val="24"/>
          <w:szCs w:val="24"/>
        </w:rPr>
        <w:t>Strategic Management Journal</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41</w:t>
      </w:r>
      <w:r w:rsidRPr="003A65F3">
        <w:rPr>
          <w:rFonts w:ascii="Palatino Linotype" w:hAnsi="Palatino Linotype"/>
          <w:noProof/>
          <w:sz w:val="24"/>
          <w:szCs w:val="24"/>
        </w:rPr>
        <w:t>(7), 1191–1209.</w:t>
      </w:r>
    </w:p>
    <w:p w14:paraId="52F072BC"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Bibri, S. E., Krogstie, J., &amp; Kärrholm, M. (2020). Compact city planning and development: Emerging practices and strategies for achieving sustainability goals. </w:t>
      </w:r>
      <w:r w:rsidRPr="003A65F3">
        <w:rPr>
          <w:rFonts w:ascii="Palatino Linotype" w:hAnsi="Palatino Linotype"/>
          <w:i/>
          <w:iCs/>
          <w:noProof/>
          <w:sz w:val="24"/>
          <w:szCs w:val="24"/>
        </w:rPr>
        <w:t>Developments in the Built Environment</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4</w:t>
      </w:r>
      <w:r w:rsidRPr="003A65F3">
        <w:rPr>
          <w:rFonts w:ascii="Palatino Linotype" w:hAnsi="Palatino Linotype"/>
          <w:noProof/>
          <w:sz w:val="24"/>
          <w:szCs w:val="24"/>
        </w:rPr>
        <w:t>, 100021.</w:t>
      </w:r>
    </w:p>
    <w:p w14:paraId="6D6E66FE"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Chaves-Avila, R., &amp; Gallego-Bono, J. R. (2020). Transformative policies for the social and solidarity economy: The new generation of public policies fostering the social economy in order to achieve sustainable development goals. The European and Spanish cases. </w:t>
      </w:r>
      <w:r w:rsidRPr="003A65F3">
        <w:rPr>
          <w:rFonts w:ascii="Palatino Linotype" w:hAnsi="Palatino Linotype"/>
          <w:i/>
          <w:iCs/>
          <w:noProof/>
          <w:sz w:val="24"/>
          <w:szCs w:val="24"/>
        </w:rPr>
        <w:t>Sustainability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12</w:t>
      </w:r>
      <w:r w:rsidRPr="003A65F3">
        <w:rPr>
          <w:rFonts w:ascii="Palatino Linotype" w:hAnsi="Palatino Linotype"/>
          <w:noProof/>
          <w:sz w:val="24"/>
          <w:szCs w:val="24"/>
        </w:rPr>
        <w:t>(10), 4059.</w:t>
      </w:r>
    </w:p>
    <w:p w14:paraId="3F72102A"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Chen, Z., Cao, H., Deng, Y., Gao, X., Piao, J., Xu, F., Zhang, Y., &amp; Li, Y. (2021). Learning from home: A mixed-methods analysis of live streaming based remote education experience in chinese colleges during the covid-19 pandemic. </w:t>
      </w:r>
      <w:r w:rsidRPr="003A65F3">
        <w:rPr>
          <w:rFonts w:ascii="Palatino Linotype" w:hAnsi="Palatino Linotype"/>
          <w:i/>
          <w:iCs/>
          <w:noProof/>
          <w:sz w:val="24"/>
          <w:szCs w:val="24"/>
        </w:rPr>
        <w:t>Proceedings of the 2021 CHI Conference on Human Factors in Computing Systems</w:t>
      </w:r>
      <w:r w:rsidRPr="003A65F3">
        <w:rPr>
          <w:rFonts w:ascii="Palatino Linotype" w:hAnsi="Palatino Linotype"/>
          <w:noProof/>
          <w:sz w:val="24"/>
          <w:szCs w:val="24"/>
        </w:rPr>
        <w:t>, 1–16.</w:t>
      </w:r>
    </w:p>
    <w:p w14:paraId="15E2F8B2"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D’Cruze, N., Galarza, F. E. R., Broche, O., El Bizri, H. R., Megson, S., Elwin, A., Machado, F. C., Norrey, J., Coulthard, E., &amp; Megson, D. (2021). Characterizing trade at the largest wildlife market of Amazonian Peru. </w:t>
      </w:r>
      <w:r w:rsidRPr="003A65F3">
        <w:rPr>
          <w:rFonts w:ascii="Palatino Linotype" w:hAnsi="Palatino Linotype"/>
          <w:i/>
          <w:iCs/>
          <w:noProof/>
          <w:sz w:val="24"/>
          <w:szCs w:val="24"/>
        </w:rPr>
        <w:t>Global Ecology and Conservation</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28</w:t>
      </w:r>
      <w:r w:rsidRPr="003A65F3">
        <w:rPr>
          <w:rFonts w:ascii="Palatino Linotype" w:hAnsi="Palatino Linotype"/>
          <w:noProof/>
          <w:sz w:val="24"/>
          <w:szCs w:val="24"/>
        </w:rPr>
        <w:t>, e01631.</w:t>
      </w:r>
    </w:p>
    <w:p w14:paraId="3F6B8B8C"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Fanjoy, M., &amp; Bragg, B. (2019). Embracing complexity: Co-creation with retired immigrant women. </w:t>
      </w:r>
      <w:r w:rsidRPr="003A65F3">
        <w:rPr>
          <w:rFonts w:ascii="Palatino Linotype" w:hAnsi="Palatino Linotype"/>
          <w:i/>
          <w:iCs/>
          <w:noProof/>
          <w:sz w:val="24"/>
          <w:szCs w:val="24"/>
        </w:rPr>
        <w:t>Gateways: International Journal of Community Research and Engagement</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12</w:t>
      </w:r>
      <w:r w:rsidRPr="003A65F3">
        <w:rPr>
          <w:rFonts w:ascii="Palatino Linotype" w:hAnsi="Palatino Linotype"/>
          <w:noProof/>
          <w:sz w:val="24"/>
          <w:szCs w:val="24"/>
        </w:rPr>
        <w:t>(1), ID-6342.</w:t>
      </w:r>
    </w:p>
    <w:p w14:paraId="1BD54D42"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García, I. (2020). Asset-based community development (ABCD): Core principles. In </w:t>
      </w:r>
      <w:r w:rsidRPr="003A65F3">
        <w:rPr>
          <w:rFonts w:ascii="Palatino Linotype" w:hAnsi="Palatino Linotype"/>
          <w:i/>
          <w:iCs/>
          <w:noProof/>
          <w:sz w:val="24"/>
          <w:szCs w:val="24"/>
        </w:rPr>
        <w:t>Research handbook on community development</w:t>
      </w:r>
      <w:r w:rsidRPr="003A65F3">
        <w:rPr>
          <w:rFonts w:ascii="Palatino Linotype" w:hAnsi="Palatino Linotype"/>
          <w:noProof/>
          <w:sz w:val="24"/>
          <w:szCs w:val="24"/>
        </w:rPr>
        <w:t>. Edward Elgar Publishing.</w:t>
      </w:r>
    </w:p>
    <w:p w14:paraId="610196D2"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Gea, I. V., Saleh, M., &amp; Suharto, R. B. (2022). Peranan corporate social responsibility (CSR) terhadap tingkat pembangunan desa. </w:t>
      </w:r>
      <w:r w:rsidRPr="003A65F3">
        <w:rPr>
          <w:rFonts w:ascii="Palatino Linotype" w:hAnsi="Palatino Linotype"/>
          <w:i/>
          <w:iCs/>
          <w:noProof/>
          <w:sz w:val="24"/>
          <w:szCs w:val="24"/>
        </w:rPr>
        <w:t>INOVASI: Jurnal Ekonomi, Keuangan Dan Manajemen</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18</w:t>
      </w:r>
      <w:r w:rsidRPr="003A65F3">
        <w:rPr>
          <w:rFonts w:ascii="Palatino Linotype" w:hAnsi="Palatino Linotype"/>
          <w:noProof/>
          <w:sz w:val="24"/>
          <w:szCs w:val="24"/>
        </w:rPr>
        <w:t>(3), 551–560. https://doi.org/10.29264/jinv.v18i3.11545</w:t>
      </w:r>
    </w:p>
    <w:p w14:paraId="1503D8D3"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Junaid, M., Zhang, Q., Cao, M., &amp; Luqman, A. (2023). Nexus between technology enabled supply chain dynamic capabilities, integration, resilience, and sustainable performance: An empirical examination of healthcare organizations. </w:t>
      </w:r>
      <w:r w:rsidRPr="003A65F3">
        <w:rPr>
          <w:rFonts w:ascii="Palatino Linotype" w:hAnsi="Palatino Linotype"/>
          <w:i/>
          <w:iCs/>
          <w:noProof/>
          <w:sz w:val="24"/>
          <w:szCs w:val="24"/>
        </w:rPr>
        <w:t>Technological Forecasting and Social Change</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196</w:t>
      </w:r>
      <w:r w:rsidRPr="003A65F3">
        <w:rPr>
          <w:rFonts w:ascii="Palatino Linotype" w:hAnsi="Palatino Linotype"/>
          <w:noProof/>
          <w:sz w:val="24"/>
          <w:szCs w:val="24"/>
        </w:rPr>
        <w:t>, 122828.</w:t>
      </w:r>
    </w:p>
    <w:p w14:paraId="4FA1C4A8"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Khaskheli, M. B., Wang, S., Yan, X., &amp; He, Y. (2023). Innovation of the social security, legal risks, sustainable management practices and employee environmental awareness in the China–Pakistan economic corridor. </w:t>
      </w:r>
      <w:r w:rsidRPr="003A65F3">
        <w:rPr>
          <w:rFonts w:ascii="Palatino Linotype" w:hAnsi="Palatino Linotype"/>
          <w:i/>
          <w:iCs/>
          <w:noProof/>
          <w:sz w:val="24"/>
          <w:szCs w:val="24"/>
        </w:rPr>
        <w:t>Sustainability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15</w:t>
      </w:r>
      <w:r w:rsidRPr="003A65F3">
        <w:rPr>
          <w:rFonts w:ascii="Palatino Linotype" w:hAnsi="Palatino Linotype"/>
          <w:noProof/>
          <w:sz w:val="24"/>
          <w:szCs w:val="24"/>
        </w:rPr>
        <w:t>(2), 1021.</w:t>
      </w:r>
    </w:p>
    <w:p w14:paraId="0C024F1B"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Leal Filho, W., Shiel, C., Paço, A., Mifsud, M., Ávila, L. V., Brandli, L. L., Molthan-Hill, P., Pace, P., Azeiteiro, U. M., &amp; Vargas, V. R. (2019). Sustainable Development Goals and sustainability teaching at universities: Falling behind or getting ahead of the pack? </w:t>
      </w:r>
      <w:r w:rsidRPr="003A65F3">
        <w:rPr>
          <w:rFonts w:ascii="Palatino Linotype" w:hAnsi="Palatino Linotype"/>
          <w:i/>
          <w:iCs/>
          <w:noProof/>
          <w:sz w:val="24"/>
          <w:szCs w:val="24"/>
        </w:rPr>
        <w:t>Journal of Cleaner Production</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232</w:t>
      </w:r>
      <w:r w:rsidRPr="003A65F3">
        <w:rPr>
          <w:rFonts w:ascii="Palatino Linotype" w:hAnsi="Palatino Linotype"/>
          <w:noProof/>
          <w:sz w:val="24"/>
          <w:szCs w:val="24"/>
        </w:rPr>
        <w:t>, 285–294.</w:t>
      </w:r>
    </w:p>
    <w:p w14:paraId="4FA16BC4"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lastRenderedPageBreak/>
        <w:t xml:space="preserve">Lee, R., Hoe Looi, K., Faulkner, M., &amp; Neale, L. (2021). The moderating influence of environment factors in an extended community of inquiry model of e-learning. </w:t>
      </w:r>
      <w:r w:rsidRPr="003A65F3">
        <w:rPr>
          <w:rFonts w:ascii="Palatino Linotype" w:hAnsi="Palatino Linotype"/>
          <w:i/>
          <w:iCs/>
          <w:noProof/>
          <w:sz w:val="24"/>
          <w:szCs w:val="24"/>
        </w:rPr>
        <w:t>Asia Pacific Journal of Education</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41</w:t>
      </w:r>
      <w:r w:rsidRPr="003A65F3">
        <w:rPr>
          <w:rFonts w:ascii="Palatino Linotype" w:hAnsi="Palatino Linotype"/>
          <w:noProof/>
          <w:sz w:val="24"/>
          <w:szCs w:val="24"/>
        </w:rPr>
        <w:t>(1). https://doi.org/10.1080/02188791.2020.1758032</w:t>
      </w:r>
    </w:p>
    <w:p w14:paraId="7EB01770"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Lis, M., &amp; Szyszka, M. (2020). </w:t>
      </w:r>
      <w:r w:rsidRPr="003A65F3">
        <w:rPr>
          <w:rFonts w:ascii="Palatino Linotype" w:hAnsi="Palatino Linotype"/>
          <w:i/>
          <w:iCs/>
          <w:noProof/>
          <w:sz w:val="24"/>
          <w:szCs w:val="24"/>
        </w:rPr>
        <w:t>Innovation and Entrepreneurship</w:t>
      </w:r>
      <w:r w:rsidRPr="003A65F3">
        <w:rPr>
          <w:i/>
          <w:iCs/>
          <w:noProof/>
          <w:sz w:val="24"/>
          <w:szCs w:val="24"/>
        </w:rPr>
        <w:t> </w:t>
      </w:r>
      <w:r w:rsidRPr="003A65F3">
        <w:rPr>
          <w:rFonts w:ascii="Palatino Linotype" w:hAnsi="Palatino Linotype"/>
          <w:i/>
          <w:iCs/>
          <w:noProof/>
          <w:sz w:val="24"/>
          <w:szCs w:val="24"/>
        </w:rPr>
        <w:t>: Theory and Practice.</w:t>
      </w:r>
      <w:r w:rsidRPr="003A65F3">
        <w:rPr>
          <w:rFonts w:ascii="Palatino Linotype" w:hAnsi="Palatino Linotype"/>
          <w:noProof/>
          <w:sz w:val="24"/>
          <w:szCs w:val="24"/>
        </w:rPr>
        <w:t xml:space="preserve"> Logos Verlag Berlin.</w:t>
      </w:r>
    </w:p>
    <w:p w14:paraId="448030B4"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Malureanu, A., Panisoara, G., &amp; Lazar, I. (2021). The relationship between self-confidence, self-efficacy, grit, usefulness, and ease of use of elearning platforms in corporate training during the COVID-19 pandemic. </w:t>
      </w:r>
      <w:r w:rsidRPr="003A65F3">
        <w:rPr>
          <w:rFonts w:ascii="Palatino Linotype" w:hAnsi="Palatino Linotype"/>
          <w:i/>
          <w:iCs/>
          <w:noProof/>
          <w:sz w:val="24"/>
          <w:szCs w:val="24"/>
        </w:rPr>
        <w:t>Sustainability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13</w:t>
      </w:r>
      <w:r w:rsidRPr="003A65F3">
        <w:rPr>
          <w:rFonts w:ascii="Palatino Linotype" w:hAnsi="Palatino Linotype"/>
          <w:noProof/>
          <w:sz w:val="24"/>
          <w:szCs w:val="24"/>
        </w:rPr>
        <w:t>(12), 6633.</w:t>
      </w:r>
    </w:p>
    <w:p w14:paraId="04D93D8A"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McGregor, K., &amp; Setiawan, K. (2019). Shifting from international to “Indonesian” justice measures: Two decades of addressing past human rights violations. </w:t>
      </w:r>
      <w:r w:rsidRPr="003A65F3">
        <w:rPr>
          <w:rFonts w:ascii="Palatino Linotype" w:hAnsi="Palatino Linotype"/>
          <w:i/>
          <w:iCs/>
          <w:noProof/>
          <w:sz w:val="24"/>
          <w:szCs w:val="24"/>
        </w:rPr>
        <w:t>Journal of Contemporary Asia</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49</w:t>
      </w:r>
      <w:r w:rsidRPr="003A65F3">
        <w:rPr>
          <w:rFonts w:ascii="Palatino Linotype" w:hAnsi="Palatino Linotype"/>
          <w:noProof/>
          <w:sz w:val="24"/>
          <w:szCs w:val="24"/>
        </w:rPr>
        <w:t>(5), 837–861.</w:t>
      </w:r>
    </w:p>
    <w:p w14:paraId="1D1A89F0"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Muhdi, M. (2019). Framework for implementation of education policy in the perspective of education management in Indonesia. </w:t>
      </w:r>
      <w:r w:rsidRPr="003A65F3">
        <w:rPr>
          <w:rFonts w:ascii="Palatino Linotype" w:hAnsi="Palatino Linotype"/>
          <w:i/>
          <w:iCs/>
          <w:noProof/>
          <w:sz w:val="24"/>
          <w:szCs w:val="24"/>
        </w:rPr>
        <w:t>Universal Journal of Educational Research</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7</w:t>
      </w:r>
      <w:r w:rsidRPr="003A65F3">
        <w:rPr>
          <w:rFonts w:ascii="Palatino Linotype" w:hAnsi="Palatino Linotype"/>
          <w:noProof/>
          <w:sz w:val="24"/>
          <w:szCs w:val="24"/>
        </w:rPr>
        <w:t>(12), 2717–2728. https://doi.org/10.13189/ujer.2019.071220</w:t>
      </w:r>
    </w:p>
    <w:p w14:paraId="1E2A7583"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Prasetiawati, P. (2020). The Role of Religious Harmony Forum for Maintain Religious Life in Palangka Raya. </w:t>
      </w:r>
      <w:r w:rsidRPr="003A65F3">
        <w:rPr>
          <w:rFonts w:ascii="Palatino Linotype" w:hAnsi="Palatino Linotype"/>
          <w:i/>
          <w:iCs/>
          <w:noProof/>
          <w:sz w:val="24"/>
          <w:szCs w:val="24"/>
        </w:rPr>
        <w:t>Proceedings of the First International Conference on Christian and Inter Religious Studies, ICCIRS 2019, December 11-14 2019, Manado, Indonesia</w:t>
      </w:r>
      <w:r w:rsidRPr="003A65F3">
        <w:rPr>
          <w:rFonts w:ascii="Palatino Linotype" w:hAnsi="Palatino Linotype"/>
          <w:noProof/>
          <w:sz w:val="24"/>
          <w:szCs w:val="24"/>
        </w:rPr>
        <w:t>.</w:t>
      </w:r>
    </w:p>
    <w:p w14:paraId="5DEAD457"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Rahmadani, R., Raharjo, S. T., &amp; Resnawaty, R. (2019). Fungsi Corporate social responsibility (CSR) Dalam Pengembangan dan Pemberdayaan Masyarakat. </w:t>
      </w:r>
      <w:r w:rsidRPr="003A65F3">
        <w:rPr>
          <w:rFonts w:ascii="Palatino Linotype" w:hAnsi="Palatino Linotype"/>
          <w:i/>
          <w:iCs/>
          <w:noProof/>
          <w:sz w:val="24"/>
          <w:szCs w:val="24"/>
        </w:rPr>
        <w:t>Share</w:t>
      </w:r>
      <w:r w:rsidRPr="003A65F3">
        <w:rPr>
          <w:i/>
          <w:iCs/>
          <w:noProof/>
          <w:sz w:val="24"/>
          <w:szCs w:val="24"/>
        </w:rPr>
        <w:t> </w:t>
      </w:r>
      <w:r w:rsidRPr="003A65F3">
        <w:rPr>
          <w:rFonts w:ascii="Palatino Linotype" w:hAnsi="Palatino Linotype"/>
          <w:i/>
          <w:iCs/>
          <w:noProof/>
          <w:sz w:val="24"/>
          <w:szCs w:val="24"/>
        </w:rPr>
        <w:t>: Social Work Journal</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8</w:t>
      </w:r>
      <w:r w:rsidRPr="003A65F3">
        <w:rPr>
          <w:rFonts w:ascii="Palatino Linotype" w:hAnsi="Palatino Linotype"/>
          <w:noProof/>
          <w:sz w:val="24"/>
          <w:szCs w:val="24"/>
        </w:rPr>
        <w:t>(2), 203. https://doi.org/10.24198/share.v8i2.20081</w:t>
      </w:r>
    </w:p>
    <w:p w14:paraId="14E0FED3"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Riyanti, C., &amp; Raharjo, S. T. (2021). Asset Based Community Development Dalam Program Corporate Social Responsibility (Csr). </w:t>
      </w:r>
      <w:r w:rsidRPr="003A65F3">
        <w:rPr>
          <w:rFonts w:ascii="Palatino Linotype" w:hAnsi="Palatino Linotype"/>
          <w:i/>
          <w:iCs/>
          <w:noProof/>
          <w:sz w:val="24"/>
          <w:szCs w:val="24"/>
        </w:rPr>
        <w:t>Jurnal Kolaborasi Resolusi Konflik</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3</w:t>
      </w:r>
      <w:r w:rsidRPr="003A65F3">
        <w:rPr>
          <w:rFonts w:ascii="Palatino Linotype" w:hAnsi="Palatino Linotype"/>
          <w:noProof/>
          <w:sz w:val="24"/>
          <w:szCs w:val="24"/>
        </w:rPr>
        <w:t>(1), 112–126.</w:t>
      </w:r>
    </w:p>
    <w:p w14:paraId="169CA9BD"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Rubio-Mozos, E., García-Muiña, F. E., &amp; Fuentes-Moraleda, L. (2019). Rethinking 21st-century businesses: An approach to fourth sector SMEs in their transition to a sustainable model committed to SDGs. </w:t>
      </w:r>
      <w:r w:rsidRPr="003A65F3">
        <w:rPr>
          <w:rFonts w:ascii="Palatino Linotype" w:hAnsi="Palatino Linotype"/>
          <w:i/>
          <w:iCs/>
          <w:noProof/>
          <w:sz w:val="24"/>
          <w:szCs w:val="24"/>
        </w:rPr>
        <w:t>Sustainability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11</w:t>
      </w:r>
      <w:r w:rsidRPr="003A65F3">
        <w:rPr>
          <w:rFonts w:ascii="Palatino Linotype" w:hAnsi="Palatino Linotype"/>
          <w:noProof/>
          <w:sz w:val="24"/>
          <w:szCs w:val="24"/>
        </w:rPr>
        <w:t>(20), 5569.</w:t>
      </w:r>
    </w:p>
    <w:p w14:paraId="13287D46"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Sari, S. Y. I., Faisal, M., Raksanagara, A. S., Agustian, D., &amp; Rusmil, K. (2020). Water quality and factors associated with compliance of drinking water refilling stations as a choice for middle-low urban households in developing countries. </w:t>
      </w:r>
      <w:r w:rsidRPr="003A65F3">
        <w:rPr>
          <w:rFonts w:ascii="Palatino Linotype" w:hAnsi="Palatino Linotype"/>
          <w:i/>
          <w:iCs/>
          <w:noProof/>
          <w:sz w:val="24"/>
          <w:szCs w:val="24"/>
        </w:rPr>
        <w:t>Journal of Water and Environment Technology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18</w:t>
      </w:r>
      <w:r w:rsidRPr="003A65F3">
        <w:rPr>
          <w:rFonts w:ascii="Palatino Linotype" w:hAnsi="Palatino Linotype"/>
          <w:noProof/>
          <w:sz w:val="24"/>
          <w:szCs w:val="24"/>
        </w:rPr>
        <w:t>(1), 27–36. https://doi.org/10.2965/jwet.19-037</w:t>
      </w:r>
    </w:p>
    <w:p w14:paraId="135A9018" w14:textId="77777777" w:rsidR="003A65F3" w:rsidRPr="003A65F3" w:rsidRDefault="00000000" w:rsidP="003A65F3">
      <w:pPr>
        <w:autoSpaceDE w:val="0"/>
        <w:autoSpaceDN w:val="0"/>
        <w:adjustRightInd w:val="0"/>
        <w:spacing w:line="240" w:lineRule="auto"/>
        <w:ind w:left="480" w:hanging="480"/>
        <w:jc w:val="both"/>
        <w:rPr>
          <w:rFonts w:ascii="Palatino Linotype" w:hAnsi="Palatino Linotype"/>
          <w:noProof/>
          <w:sz w:val="24"/>
          <w:szCs w:val="24"/>
        </w:rPr>
      </w:pPr>
      <w:r w:rsidRPr="003A65F3">
        <w:rPr>
          <w:rFonts w:ascii="Palatino Linotype" w:hAnsi="Palatino Linotype"/>
          <w:noProof/>
          <w:sz w:val="24"/>
          <w:szCs w:val="24"/>
        </w:rPr>
        <w:t xml:space="preserve">Sarid, A. (2021). Crossing boundaries: Connecting adaptive leadership and social justice leadership for educational contexts. </w:t>
      </w:r>
      <w:r w:rsidRPr="003A65F3">
        <w:rPr>
          <w:rFonts w:ascii="Palatino Linotype" w:hAnsi="Palatino Linotype"/>
          <w:i/>
          <w:iCs/>
          <w:noProof/>
          <w:sz w:val="24"/>
          <w:szCs w:val="24"/>
        </w:rPr>
        <w:t>International Journal of Leadership in Education</w:t>
      </w:r>
      <w:r w:rsidRPr="003A65F3">
        <w:rPr>
          <w:rFonts w:ascii="Palatino Linotype" w:hAnsi="Palatino Linotype"/>
          <w:noProof/>
          <w:sz w:val="24"/>
          <w:szCs w:val="24"/>
        </w:rPr>
        <w:t>, 1–22.</w:t>
      </w:r>
    </w:p>
    <w:p w14:paraId="14569BE6" w14:textId="77777777" w:rsidR="0087610A" w:rsidRPr="00BC4C51" w:rsidRDefault="00000000" w:rsidP="003A65F3">
      <w:pPr>
        <w:autoSpaceDE w:val="0"/>
        <w:autoSpaceDN w:val="0"/>
        <w:adjustRightInd w:val="0"/>
        <w:spacing w:line="240" w:lineRule="auto"/>
        <w:ind w:left="480" w:hanging="480"/>
        <w:jc w:val="both"/>
        <w:rPr>
          <w:rFonts w:ascii="Palatino Linotype" w:eastAsia="Times New Roman" w:hAnsi="Palatino Linotype"/>
          <w:sz w:val="20"/>
          <w:lang w:val="en-ID"/>
        </w:rPr>
      </w:pPr>
      <w:r w:rsidRPr="003A65F3">
        <w:rPr>
          <w:rFonts w:ascii="Palatino Linotype" w:hAnsi="Palatino Linotype"/>
          <w:noProof/>
          <w:sz w:val="24"/>
          <w:szCs w:val="24"/>
        </w:rPr>
        <w:t xml:space="preserve">Torkayesh, A. E., &amp; Torkayesh, S. E. (2021). Evaluation of information and communication technology development in G7 countries: An integrated MCDM approach. </w:t>
      </w:r>
      <w:r w:rsidRPr="003A65F3">
        <w:rPr>
          <w:rFonts w:ascii="Palatino Linotype" w:hAnsi="Palatino Linotype"/>
          <w:i/>
          <w:iCs/>
          <w:noProof/>
          <w:sz w:val="24"/>
          <w:szCs w:val="24"/>
        </w:rPr>
        <w:t>Technology in Society</w:t>
      </w:r>
      <w:r w:rsidRPr="003A65F3">
        <w:rPr>
          <w:rFonts w:ascii="Palatino Linotype" w:hAnsi="Palatino Linotype"/>
          <w:noProof/>
          <w:sz w:val="24"/>
          <w:szCs w:val="24"/>
        </w:rPr>
        <w:t xml:space="preserve">, </w:t>
      </w:r>
      <w:r w:rsidRPr="003A65F3">
        <w:rPr>
          <w:rFonts w:ascii="Palatino Linotype" w:hAnsi="Palatino Linotype"/>
          <w:i/>
          <w:iCs/>
          <w:noProof/>
          <w:sz w:val="24"/>
          <w:szCs w:val="24"/>
        </w:rPr>
        <w:t>66</w:t>
      </w:r>
      <w:r w:rsidRPr="003A65F3">
        <w:rPr>
          <w:rFonts w:ascii="Palatino Linotype" w:hAnsi="Palatino Linotype"/>
          <w:noProof/>
          <w:sz w:val="24"/>
          <w:szCs w:val="24"/>
        </w:rPr>
        <w:t>, 101670.</w:t>
      </w:r>
      <w:r w:rsidR="00627989" w:rsidRPr="006B7949">
        <w:rPr>
          <w:rFonts w:ascii="Palatino Linotype" w:hAnsi="Palatino Linotype"/>
          <w:noProof/>
          <w:sz w:val="24"/>
          <w:szCs w:val="24"/>
          <w:lang w:val="en-ID"/>
        </w:rPr>
        <w:fldChar w:fldCharType="end"/>
      </w:r>
    </w:p>
    <w:sectPr w:rsidR="0087610A" w:rsidRPr="00BC4C51" w:rsidSect="009F2981">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418" w:left="1418" w:header="567" w:footer="567"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2B2B2" w14:textId="77777777" w:rsidR="00E57401" w:rsidRDefault="00E57401">
      <w:pPr>
        <w:spacing w:line="240" w:lineRule="auto"/>
      </w:pPr>
      <w:r>
        <w:separator/>
      </w:r>
    </w:p>
  </w:endnote>
  <w:endnote w:type="continuationSeparator" w:id="0">
    <w:p w14:paraId="1401459D" w14:textId="77777777" w:rsidR="00E57401" w:rsidRDefault="00E574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B730" w14:textId="77777777" w:rsidR="005F546B" w:rsidRPr="002C7759" w:rsidRDefault="00000000"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55680" behindDoc="0" locked="0" layoutInCell="1" allowOverlap="1" wp14:anchorId="1F606A6D" wp14:editId="50DF89CD">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0" o:spid="_x0000_s2051" style="mso-height-percent:0;mso-height-relative:margin;mso-wrap-distance-bottom:0;mso-wrap-distance-left:9pt;mso-wrap-distance-right:9pt;mso-wrap-distance-top:0;mso-wrap-style:square;position:absolute;visibility:visible;z-index:251659264" from="15pt,0.55pt" to="15pt,11.8pt" strokecolor="black" strokeweight="0.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3DAD0" w14:textId="77777777" w:rsidR="005F546B" w:rsidRPr="006D38E2" w:rsidRDefault="00000000"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57728" behindDoc="0" locked="0" layoutInCell="1" allowOverlap="1" wp14:anchorId="2AB64BC6" wp14:editId="2E85BDA7">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1" o:spid="_x0000_s2052" style="mso-height-percent:0;mso-height-relative:margin;mso-wrap-distance-bottom:0;mso-wrap-distance-left:9pt;mso-wrap-distance-right:9pt;mso-wrap-distance-top:0;mso-wrap-style:square;position:absolute;visibility:visible;z-index:251661312" from="431.35pt,0" to="431.35pt,12.35pt" strokecolor="black" strokeweight="0.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5037E2" w:rsidRPr="002C7759">
      <w:rPr>
        <w:rFonts w:ascii="Palatino Linotype" w:hAnsi="Palatino Linotype"/>
        <w:i w:val="0"/>
        <w:iCs/>
        <w:sz w:val="18"/>
        <w:szCs w:val="18"/>
      </w:rPr>
      <w:t>17</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0351F" w14:textId="77777777" w:rsidR="00BD11D7" w:rsidRDefault="00000000">
    <w:r>
      <w:rPr>
        <w:noProof/>
      </w:rPr>
      <mc:AlternateContent>
        <mc:Choice Requires="wps">
          <w:drawing>
            <wp:anchor distT="0" distB="0" distL="114300" distR="114300" simplePos="0" relativeHeight="251658752" behindDoc="0" locked="0" layoutInCell="1" allowOverlap="1" wp14:anchorId="10A6F746" wp14:editId="706900E2">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8" o:spid="_x0000_s2054" style="mso-wrap-distance-bottom:0;mso-wrap-distance-left:9pt;mso-wrap-distance-right:9pt;mso-wrap-distance-top:0;mso-wrap-style:square;position:absolute;visibility:visible;z-index:251663360" from="82.5pt,11.5pt" to="365pt,11.5pt" strokecolor="black">
              <v:stroke joinstyle="miter"/>
            </v:line>
          </w:pict>
        </mc:Fallback>
      </mc:AlternateContent>
    </w:r>
  </w:p>
  <w:p w14:paraId="7CE2CD36" w14:textId="77777777" w:rsidR="0040021C" w:rsidRPr="0080323E" w:rsidRDefault="00000000" w:rsidP="005F40F2">
    <w:pPr>
      <w:spacing w:line="240" w:lineRule="auto"/>
      <w:ind w:left="851" w:right="850"/>
      <w:jc w:val="center"/>
      <w:rPr>
        <w:rFonts w:ascii="Palatino Linotype" w:hAnsi="Palatino Linotype" w:cs="Arial"/>
        <w:sz w:val="18"/>
        <w:szCs w:val="18"/>
      </w:rPr>
    </w:pPr>
    <w:r w:rsidRPr="00901901">
      <w:rPr>
        <w:rFonts w:ascii="Palatino Linotype" w:hAnsi="Palatino Linotype" w:cs="Arial"/>
        <w:sz w:val="18"/>
        <w:szCs w:val="18"/>
        <w:lang w:val="en-ID"/>
      </w:rPr>
      <w:t>Published by Edujavare Publishing;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729ED" w14:textId="77777777" w:rsidR="00E57401" w:rsidRDefault="00E57401">
      <w:pPr>
        <w:spacing w:line="240" w:lineRule="auto"/>
      </w:pPr>
      <w:r>
        <w:separator/>
      </w:r>
    </w:p>
  </w:footnote>
  <w:footnote w:type="continuationSeparator" w:id="0">
    <w:p w14:paraId="13EAFABB" w14:textId="77777777" w:rsidR="00E57401" w:rsidRDefault="00E574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79401" w14:textId="77777777" w:rsidR="00624B84" w:rsidRDefault="00000000" w:rsidP="00AA1EAB">
    <w:pPr>
      <w:pStyle w:val="Header"/>
      <w:jc w:val="both"/>
      <w:rPr>
        <w:rFonts w:ascii="Palatino Linotype" w:hAnsi="Palatino Linotype"/>
        <w:i/>
        <w:iCs/>
        <w:sz w:val="16"/>
        <w:szCs w:val="16"/>
      </w:rPr>
    </w:pPr>
    <w:r w:rsidRPr="00901901">
      <w:rPr>
        <w:rFonts w:ascii="Palatino Linotype" w:hAnsi="Palatino Linotype"/>
        <w:i/>
        <w:iCs/>
        <w:sz w:val="16"/>
        <w:szCs w:val="16"/>
      </w:rPr>
      <w:t>Evaluation of Governance, Risk Management, and Compliance Policies in Supporting Sustainability and Corporate Social Responsibility</w:t>
    </w:r>
  </w:p>
  <w:p w14:paraId="1815DFA2" w14:textId="77777777" w:rsidR="00AA1EAB" w:rsidRDefault="00000000" w:rsidP="00480A5B">
    <w:pPr>
      <w:pStyle w:val="Header"/>
      <w:jc w:val="both"/>
      <w:rPr>
        <w:rFonts w:ascii="Palatino Linotype" w:hAnsi="Palatino Linotype"/>
        <w:i/>
        <w:iCs/>
        <w:sz w:val="16"/>
        <w:szCs w:val="16"/>
      </w:rPr>
    </w:pPr>
    <w:r>
      <w:rPr>
        <w:rFonts w:ascii="Palatino Linotype" w:hAnsi="Palatino Linotype"/>
        <w:i/>
        <w:iCs/>
        <w:sz w:val="16"/>
        <w:szCs w:val="16"/>
      </w:rPr>
      <mc:AlternateContent>
        <mc:Choice Requires="wps">
          <w:drawing>
            <wp:anchor distT="0" distB="0" distL="114300" distR="114300" simplePos="0" relativeHeight="251654656" behindDoc="0" locked="0" layoutInCell="1" allowOverlap="1" wp14:anchorId="3B4AFF77" wp14:editId="47373D64">
              <wp:simplePos x="0" y="0"/>
              <wp:positionH relativeFrom="column">
                <wp:posOffset>3175</wp:posOffset>
              </wp:positionH>
              <wp:positionV relativeFrom="paragraph">
                <wp:posOffset>163526</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2049" style="mso-wrap-distance-bottom:0;mso-wrap-distance-left:9pt;mso-wrap-distance-right:9pt;mso-wrap-distance-top:0;mso-wrap-style:square;position:absolute;visibility:visible;z-index:251659264" from="0.25pt,12.9pt" to="453.05pt,12.9pt" strokecolor="black" strokeweight="1pt">
              <v:stroke joinstyle="miter"/>
            </v:line>
          </w:pict>
        </mc:Fallback>
      </mc:AlternateContent>
    </w:r>
    <w:r w:rsidR="000D5860" w:rsidRPr="000D5860">
      <w:rPr>
        <w:rFonts w:ascii="Palatino Linotype" w:hAnsi="Palatino Linotype"/>
        <w:i/>
        <w:iCs/>
        <w:sz w:val="16"/>
        <w:szCs w:val="16"/>
      </w:rPr>
      <w:t>Loso Judijanto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D9FB" w14:textId="77777777" w:rsidR="00DF6DDC" w:rsidRPr="00DF6DDC" w:rsidRDefault="00000000" w:rsidP="00DF6DDC">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val="id-ID" w:eastAsia="id-ID"/>
      </w:rPr>
      <mc:AlternateContent>
        <mc:Choice Requires="wps">
          <w:drawing>
            <wp:anchor distT="0" distB="0" distL="114300" distR="114300" simplePos="0" relativeHeight="251656704" behindDoc="0" locked="0" layoutInCell="1" allowOverlap="1" wp14:anchorId="2D3B08E9" wp14:editId="4CD1957B">
              <wp:simplePos x="0" y="0"/>
              <wp:positionH relativeFrom="column">
                <wp:posOffset>9525</wp:posOffset>
              </wp:positionH>
              <wp:positionV relativeFrom="paragraph">
                <wp:posOffset>171450</wp:posOffset>
              </wp:positionV>
              <wp:extent cx="57505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2050" style="mso-wrap-distance-bottom:0;mso-wrap-distance-left:9pt;mso-wrap-distance-right:9pt;mso-wrap-distance-top:0;mso-wrap-style:square;position:absolute;visibility:visible;z-index:251661312" from="0.75pt,13.5pt" to="453.55pt,13.5pt" strokecolor="black" strokeweight="1pt">
              <v:stroke joinstyle="miter"/>
            </v:line>
          </w:pict>
        </mc:Fallback>
      </mc:AlternateContent>
    </w:r>
    <w:r w:rsidR="00901901" w:rsidRPr="00901901">
      <w:t xml:space="preserve"> </w:t>
    </w:r>
    <w:r w:rsidR="00901901" w:rsidRPr="00901901">
      <w:rPr>
        <w:rFonts w:ascii="Palatino Linotype" w:hAnsi="Palatino Linotype"/>
        <w:b/>
        <w:bCs/>
        <w:i/>
        <w:iCs/>
        <w:sz w:val="18"/>
        <w:szCs w:val="18"/>
        <w:lang w:val="id-ID" w:eastAsia="id-ID"/>
      </w:rPr>
      <w:t>Ijogma: Indonesian Journal of Global Management</w:t>
    </w:r>
    <w:r>
      <w:rPr>
        <w:rFonts w:ascii="Cambria" w:hAnsi="Cambria"/>
        <w:highlight w:val="white"/>
      </w:rPr>
      <w:tab/>
    </w:r>
  </w:p>
  <w:p w14:paraId="6C4A5742" w14:textId="77777777" w:rsidR="00D9731A" w:rsidRPr="00DF6DDC" w:rsidRDefault="00D9731A" w:rsidP="00DF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805"/>
      <w:gridCol w:w="3313"/>
    </w:tblGrid>
    <w:tr w:rsidR="00674C34" w14:paraId="4D299BC2" w14:textId="77777777" w:rsidTr="007C0EC0">
      <w:trPr>
        <w:jc w:val="center"/>
      </w:trPr>
      <w:tc>
        <w:tcPr>
          <w:tcW w:w="2126" w:type="dxa"/>
        </w:tcPr>
        <w:p w14:paraId="056C3C35" w14:textId="77777777" w:rsidR="00901901" w:rsidRPr="00DE4DBA" w:rsidRDefault="00000000" w:rsidP="00901901">
          <w:pPr>
            <w:pStyle w:val="Header"/>
            <w:spacing w:after="0" w:line="276" w:lineRule="auto"/>
            <w:contextualSpacing/>
            <w:rPr>
              <w:rFonts w:ascii="Palatino Linotype" w:hAnsi="Palatino Linotype"/>
              <w:sz w:val="16"/>
              <w:szCs w:val="16"/>
            </w:rPr>
          </w:pPr>
          <w:r w:rsidRPr="00DE4DBA">
            <w:rPr>
              <w:rFonts w:ascii="Palatino Linotype" w:hAnsi="Palatino Linotype"/>
              <w:sz w:val="16"/>
              <w:szCs w:val="16"/>
            </w:rPr>
            <w:t xml:space="preserve">Volume 1 Number </w:t>
          </w:r>
          <w:r>
            <w:rPr>
              <w:rFonts w:ascii="Palatino Linotype" w:hAnsi="Palatino Linotype"/>
              <w:sz w:val="16"/>
              <w:szCs w:val="16"/>
            </w:rPr>
            <w:t>2</w:t>
          </w:r>
          <w:r w:rsidRPr="00DE4DBA">
            <w:rPr>
              <w:rFonts w:ascii="Palatino Linotype" w:hAnsi="Palatino Linotype"/>
              <w:sz w:val="16"/>
              <w:szCs w:val="16"/>
            </w:rPr>
            <w:t xml:space="preserve"> (2023)</w:t>
          </w:r>
        </w:p>
        <w:p w14:paraId="244E6DBC" w14:textId="77777777" w:rsidR="00901901" w:rsidRPr="00DE4DBA" w:rsidRDefault="00000000" w:rsidP="00901901">
          <w:pPr>
            <w:pStyle w:val="Header"/>
            <w:spacing w:after="0" w:line="276" w:lineRule="auto"/>
            <w:contextualSpacing/>
            <w:rPr>
              <w:rFonts w:ascii="Palatino Linotype" w:hAnsi="Palatino Linotype"/>
              <w:sz w:val="16"/>
              <w:szCs w:val="16"/>
            </w:rPr>
          </w:pPr>
          <w:r w:rsidRPr="00DE4DBA">
            <w:rPr>
              <w:rFonts w:ascii="Palatino Linotype" w:hAnsi="Palatino Linotype"/>
              <w:sz w:val="16"/>
              <w:szCs w:val="16"/>
            </w:rPr>
            <w:t>J</w:t>
          </w:r>
          <w:r>
            <w:rPr>
              <w:rFonts w:ascii="Palatino Linotype" w:hAnsi="Palatino Linotype"/>
              <w:sz w:val="16"/>
              <w:szCs w:val="16"/>
            </w:rPr>
            <w:t>ul</w:t>
          </w:r>
          <w:r w:rsidRPr="00DE4DBA">
            <w:rPr>
              <w:rFonts w:ascii="Palatino Linotype" w:hAnsi="Palatino Linotype"/>
              <w:sz w:val="16"/>
              <w:szCs w:val="16"/>
            </w:rPr>
            <w:t xml:space="preserve">y – </w:t>
          </w:r>
          <w:r>
            <w:rPr>
              <w:rFonts w:ascii="Palatino Linotype" w:hAnsi="Palatino Linotype"/>
              <w:sz w:val="16"/>
              <w:szCs w:val="16"/>
            </w:rPr>
            <w:t>December</w:t>
          </w:r>
          <w:r w:rsidRPr="00DE4DBA">
            <w:rPr>
              <w:rFonts w:ascii="Palatino Linotype" w:hAnsi="Palatino Linotype"/>
              <w:sz w:val="16"/>
              <w:szCs w:val="16"/>
            </w:rPr>
            <w:t xml:space="preserve"> 2023</w:t>
          </w:r>
        </w:p>
        <w:p w14:paraId="6FD48CC7" w14:textId="700CED4D" w:rsidR="00901901" w:rsidRPr="00A27839" w:rsidRDefault="00000000" w:rsidP="00901901">
          <w:pPr>
            <w:pStyle w:val="Header"/>
            <w:spacing w:after="0" w:line="276" w:lineRule="auto"/>
            <w:contextualSpacing/>
            <w:rPr>
              <w:rFonts w:ascii="Palatino Linotype" w:hAnsi="Palatino Linotype"/>
              <w:sz w:val="18"/>
              <w:szCs w:val="18"/>
            </w:rPr>
          </w:pPr>
          <w:r w:rsidRPr="00DE4DBA">
            <w:rPr>
              <w:rFonts w:ascii="Palatino Linotype" w:hAnsi="Palatino Linotype"/>
              <w:sz w:val="16"/>
              <w:szCs w:val="16"/>
            </w:rPr>
            <w:t xml:space="preserve">Page: </w:t>
          </w:r>
          <w:r w:rsidR="009F2981">
            <w:rPr>
              <w:rFonts w:ascii="Palatino Linotype" w:hAnsi="Palatino Linotype"/>
              <w:sz w:val="16"/>
              <w:szCs w:val="16"/>
            </w:rPr>
            <w:t>23</w:t>
          </w:r>
          <w:r w:rsidRPr="00DE4DBA">
            <w:rPr>
              <w:rFonts w:ascii="Palatino Linotype" w:hAnsi="Palatino Linotype"/>
              <w:sz w:val="16"/>
              <w:szCs w:val="16"/>
            </w:rPr>
            <w:t>-</w:t>
          </w:r>
          <w:r w:rsidR="009F2981">
            <w:rPr>
              <w:rFonts w:ascii="Palatino Linotype" w:hAnsi="Palatino Linotype"/>
              <w:sz w:val="16"/>
              <w:szCs w:val="16"/>
            </w:rPr>
            <w:t>31</w:t>
          </w:r>
        </w:p>
      </w:tc>
      <w:tc>
        <w:tcPr>
          <w:tcW w:w="3805" w:type="dxa"/>
        </w:tcPr>
        <w:p w14:paraId="48299312" w14:textId="77777777" w:rsidR="00901901" w:rsidRPr="004E127A" w:rsidRDefault="00000000" w:rsidP="00901901">
          <w:pPr>
            <w:pStyle w:val="Header"/>
            <w:spacing w:after="0" w:line="240" w:lineRule="auto"/>
            <w:contextualSpacing/>
            <w:jc w:val="center"/>
            <w:rPr>
              <w:rFonts w:ascii="Palatino Linotype" w:hAnsi="Palatino Linotype"/>
              <w:sz w:val="20"/>
            </w:rPr>
          </w:pPr>
          <w:r w:rsidRPr="004E127A">
            <w:rPr>
              <w:rFonts w:ascii="Palatino Linotype" w:hAnsi="Palatino Linotype"/>
              <w:sz w:val="20"/>
            </w:rPr>
            <w:t>ijogma: Indonesian Journal of Global Management</w:t>
          </w:r>
        </w:p>
        <w:p w14:paraId="7DFBFF37" w14:textId="77777777" w:rsidR="00901901" w:rsidRPr="00A27839" w:rsidRDefault="00000000" w:rsidP="00901901">
          <w:pPr>
            <w:pStyle w:val="Header"/>
            <w:spacing w:after="0" w:line="240" w:lineRule="auto"/>
            <w:contextualSpacing/>
            <w:jc w:val="center"/>
            <w:rPr>
              <w:rFonts w:ascii="Palatino Linotype" w:hAnsi="Palatino Linotype"/>
              <w:sz w:val="18"/>
              <w:szCs w:val="18"/>
            </w:rPr>
          </w:pPr>
          <w:r w:rsidRPr="000730A8">
            <w:rPr>
              <w:rFonts w:ascii="Palatino Linotype" w:hAnsi="Palatino Linotype"/>
              <w:sz w:val="16"/>
              <w:szCs w:val="16"/>
            </w:rPr>
            <w:t>https://edujavare.com/index.php/ijogma</w:t>
          </w:r>
        </w:p>
      </w:tc>
      <w:tc>
        <w:tcPr>
          <w:tcW w:w="3313" w:type="dxa"/>
        </w:tcPr>
        <w:p w14:paraId="477ACD7A" w14:textId="77777777" w:rsidR="00901901" w:rsidRPr="00223C23" w:rsidRDefault="00000000" w:rsidP="00901901">
          <w:pPr>
            <w:spacing w:line="240" w:lineRule="auto"/>
            <w:ind w:right="6"/>
            <w:rPr>
              <w:rFonts w:ascii="Palatino Linotype" w:hAnsi="Palatino Linotype"/>
              <w:sz w:val="22"/>
              <w:szCs w:val="22"/>
            </w:rPr>
          </w:pPr>
          <w:r w:rsidRPr="00223C23">
            <w:rPr>
              <w:rFonts w:ascii="Palatino Linotype" w:hAnsi="Palatino Linotype"/>
              <w:noProof/>
              <w:sz w:val="22"/>
              <w:szCs w:val="22"/>
            </w:rPr>
            <w:drawing>
              <wp:anchor distT="0" distB="0" distL="114300" distR="114300" simplePos="0" relativeHeight="251660800" behindDoc="1" locked="0" layoutInCell="1" allowOverlap="1" wp14:anchorId="5BC97786" wp14:editId="5AFB30EF">
                <wp:simplePos x="0" y="0"/>
                <wp:positionH relativeFrom="page">
                  <wp:posOffset>72138</wp:posOffset>
                </wp:positionH>
                <wp:positionV relativeFrom="page">
                  <wp:posOffset>62649</wp:posOffset>
                </wp:positionV>
                <wp:extent cx="2001329" cy="466725"/>
                <wp:effectExtent l="0" t="0" r="0" b="0"/>
                <wp:wrapNone/>
                <wp:docPr id="381674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74299" name=""/>
                        <pic:cNvPicPr/>
                      </pic:nvPicPr>
                      <pic:blipFill>
                        <a:blip r:embed="rId1"/>
                        <a:stretch>
                          <a:fillRect/>
                        </a:stretch>
                      </pic:blipFill>
                      <pic:spPr>
                        <a:xfrm>
                          <a:off x="0" y="0"/>
                          <a:ext cx="2047827" cy="477569"/>
                        </a:xfrm>
                        <a:prstGeom prst="rect">
                          <a:avLst/>
                        </a:prstGeom>
                      </pic:spPr>
                    </pic:pic>
                  </a:graphicData>
                </a:graphic>
                <wp14:sizeRelH relativeFrom="margin">
                  <wp14:pctWidth>0</wp14:pctWidth>
                </wp14:sizeRelH>
                <wp14:sizeRelV relativeFrom="margin">
                  <wp14:pctHeight>0</wp14:pctHeight>
                </wp14:sizeRelV>
              </wp:anchor>
            </w:drawing>
          </w:r>
        </w:p>
      </w:tc>
    </w:tr>
  </w:tbl>
  <w:p w14:paraId="50494488" w14:textId="77777777" w:rsidR="00901901" w:rsidRPr="00145913" w:rsidRDefault="00000000" w:rsidP="00901901">
    <w:pPr>
      <w:pStyle w:val="AmlCopyright"/>
      <w:jc w:val="left"/>
      <w:rPr>
        <w:i w:val="0"/>
        <w:iCs/>
        <w:color w:val="0000FF"/>
        <w:sz w:val="20"/>
        <w:szCs w:val="20"/>
      </w:rPr>
    </w:pPr>
    <w:r>
      <w:rPr>
        <w:noProof/>
      </w:rPr>
      <mc:AlternateContent>
        <mc:Choice Requires="wps">
          <w:drawing>
            <wp:anchor distT="0" distB="0" distL="114300" distR="114300" simplePos="0" relativeHeight="251659776" behindDoc="0" locked="0" layoutInCell="1" allowOverlap="1" wp14:anchorId="7191382F" wp14:editId="6B254A79">
              <wp:simplePos x="0" y="0"/>
              <wp:positionH relativeFrom="column">
                <wp:posOffset>635</wp:posOffset>
              </wp:positionH>
              <wp:positionV relativeFrom="paragraph">
                <wp:posOffset>89906</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noFill/>
                      <a:ln w="38100" cmpd="tri">
                        <a:solidFill>
                          <a:sysClr val="windowText" lastClr="000000"/>
                        </a:solidFill>
                        <a:prstDash val="solid"/>
                        <a:miter lim="800000"/>
                      </a:ln>
                      <a:effectLst/>
                    </wps:spPr>
                    <wps:bodyPr/>
                  </wps:wsp>
                </a:graphicData>
              </a:graphic>
            </wp:anchor>
          </w:drawing>
        </mc:Choice>
        <mc:Fallback>
          <w:pict>
            <v:line id="Straight Connector 127" o:spid="_x0000_s2053" style="mso-wrap-distance-bottom:0;mso-wrap-distance-left:9pt;mso-wrap-distance-right:9pt;mso-wrap-distance-top:0;mso-wrap-style:square;position:absolute;visibility:visible;z-index:251663360" from="0.05pt,7.1pt" to="451.95pt,7.1pt" strokecolor="black" strokeweight="3pt">
              <v:stroke joinstyle="miter" linestyle="thickBetweenThin"/>
            </v:line>
          </w:pict>
        </mc:Fallback>
      </mc:AlternateContent>
    </w:r>
  </w:p>
  <w:p w14:paraId="25D6F431" w14:textId="77777777" w:rsidR="00901901" w:rsidRDefault="00901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C125A"/>
    <w:multiLevelType w:val="hybridMultilevel"/>
    <w:tmpl w:val="9176FF94"/>
    <w:lvl w:ilvl="0" w:tplc="2F52DCF8">
      <w:start w:val="2"/>
      <w:numFmt w:val="decimal"/>
      <w:lvlText w:val="%1."/>
      <w:lvlJc w:val="left"/>
      <w:pPr>
        <w:ind w:left="1004" w:hanging="360"/>
      </w:pPr>
      <w:rPr>
        <w:rFonts w:hint="default"/>
      </w:rPr>
    </w:lvl>
    <w:lvl w:ilvl="1" w:tplc="D7A684E2" w:tentative="1">
      <w:start w:val="1"/>
      <w:numFmt w:val="lowerLetter"/>
      <w:lvlText w:val="%2."/>
      <w:lvlJc w:val="left"/>
      <w:pPr>
        <w:ind w:left="1724" w:hanging="360"/>
      </w:pPr>
    </w:lvl>
    <w:lvl w:ilvl="2" w:tplc="48F6803C" w:tentative="1">
      <w:start w:val="1"/>
      <w:numFmt w:val="lowerRoman"/>
      <w:lvlText w:val="%3."/>
      <w:lvlJc w:val="right"/>
      <w:pPr>
        <w:ind w:left="2444" w:hanging="180"/>
      </w:pPr>
    </w:lvl>
    <w:lvl w:ilvl="3" w:tplc="F08E06E0" w:tentative="1">
      <w:start w:val="1"/>
      <w:numFmt w:val="decimal"/>
      <w:lvlText w:val="%4."/>
      <w:lvlJc w:val="left"/>
      <w:pPr>
        <w:ind w:left="3164" w:hanging="360"/>
      </w:pPr>
    </w:lvl>
    <w:lvl w:ilvl="4" w:tplc="070A4ABA" w:tentative="1">
      <w:start w:val="1"/>
      <w:numFmt w:val="lowerLetter"/>
      <w:lvlText w:val="%5."/>
      <w:lvlJc w:val="left"/>
      <w:pPr>
        <w:ind w:left="3884" w:hanging="360"/>
      </w:pPr>
    </w:lvl>
    <w:lvl w:ilvl="5" w:tplc="1292A7A2" w:tentative="1">
      <w:start w:val="1"/>
      <w:numFmt w:val="lowerRoman"/>
      <w:lvlText w:val="%6."/>
      <w:lvlJc w:val="right"/>
      <w:pPr>
        <w:ind w:left="4604" w:hanging="180"/>
      </w:pPr>
    </w:lvl>
    <w:lvl w:ilvl="6" w:tplc="A3D6C3CC" w:tentative="1">
      <w:start w:val="1"/>
      <w:numFmt w:val="decimal"/>
      <w:lvlText w:val="%7."/>
      <w:lvlJc w:val="left"/>
      <w:pPr>
        <w:ind w:left="5324" w:hanging="360"/>
      </w:pPr>
    </w:lvl>
    <w:lvl w:ilvl="7" w:tplc="0EC03F6C" w:tentative="1">
      <w:start w:val="1"/>
      <w:numFmt w:val="lowerLetter"/>
      <w:lvlText w:val="%8."/>
      <w:lvlJc w:val="left"/>
      <w:pPr>
        <w:ind w:left="6044" w:hanging="360"/>
      </w:pPr>
    </w:lvl>
    <w:lvl w:ilvl="8" w:tplc="85E667EC" w:tentative="1">
      <w:start w:val="1"/>
      <w:numFmt w:val="lowerRoman"/>
      <w:lvlText w:val="%9."/>
      <w:lvlJc w:val="right"/>
      <w:pPr>
        <w:ind w:left="6764" w:hanging="180"/>
      </w:pPr>
    </w:lvl>
  </w:abstractNum>
  <w:abstractNum w:abstractNumId="1" w15:restartNumberingAfterBreak="0">
    <w:nsid w:val="0C7E7948"/>
    <w:multiLevelType w:val="hybridMultilevel"/>
    <w:tmpl w:val="47B0AE1E"/>
    <w:lvl w:ilvl="0" w:tplc="1CE03C9E">
      <w:start w:val="1"/>
      <w:numFmt w:val="bullet"/>
      <w:lvlText w:val=""/>
      <w:lvlJc w:val="left"/>
      <w:pPr>
        <w:ind w:left="720" w:hanging="360"/>
      </w:pPr>
      <w:rPr>
        <w:rFonts w:ascii="Symbol" w:hAnsi="Symbol" w:hint="default"/>
      </w:rPr>
    </w:lvl>
    <w:lvl w:ilvl="1" w:tplc="E786A5BC" w:tentative="1">
      <w:start w:val="1"/>
      <w:numFmt w:val="bullet"/>
      <w:lvlText w:val="o"/>
      <w:lvlJc w:val="left"/>
      <w:pPr>
        <w:ind w:left="1440" w:hanging="360"/>
      </w:pPr>
      <w:rPr>
        <w:rFonts w:ascii="Courier New" w:hAnsi="Courier New" w:cs="Courier New" w:hint="default"/>
      </w:rPr>
    </w:lvl>
    <w:lvl w:ilvl="2" w:tplc="9EBACAC2" w:tentative="1">
      <w:start w:val="1"/>
      <w:numFmt w:val="bullet"/>
      <w:lvlText w:val=""/>
      <w:lvlJc w:val="left"/>
      <w:pPr>
        <w:ind w:left="2160" w:hanging="360"/>
      </w:pPr>
      <w:rPr>
        <w:rFonts w:ascii="Wingdings" w:hAnsi="Wingdings" w:hint="default"/>
      </w:rPr>
    </w:lvl>
    <w:lvl w:ilvl="3" w:tplc="0D4EB3DE" w:tentative="1">
      <w:start w:val="1"/>
      <w:numFmt w:val="bullet"/>
      <w:lvlText w:val=""/>
      <w:lvlJc w:val="left"/>
      <w:pPr>
        <w:ind w:left="2880" w:hanging="360"/>
      </w:pPr>
      <w:rPr>
        <w:rFonts w:ascii="Symbol" w:hAnsi="Symbol" w:hint="default"/>
      </w:rPr>
    </w:lvl>
    <w:lvl w:ilvl="4" w:tplc="CE7E505A" w:tentative="1">
      <w:start w:val="1"/>
      <w:numFmt w:val="bullet"/>
      <w:lvlText w:val="o"/>
      <w:lvlJc w:val="left"/>
      <w:pPr>
        <w:ind w:left="3600" w:hanging="360"/>
      </w:pPr>
      <w:rPr>
        <w:rFonts w:ascii="Courier New" w:hAnsi="Courier New" w:cs="Courier New" w:hint="default"/>
      </w:rPr>
    </w:lvl>
    <w:lvl w:ilvl="5" w:tplc="0B5639B8" w:tentative="1">
      <w:start w:val="1"/>
      <w:numFmt w:val="bullet"/>
      <w:lvlText w:val=""/>
      <w:lvlJc w:val="left"/>
      <w:pPr>
        <w:ind w:left="4320" w:hanging="360"/>
      </w:pPr>
      <w:rPr>
        <w:rFonts w:ascii="Wingdings" w:hAnsi="Wingdings" w:hint="default"/>
      </w:rPr>
    </w:lvl>
    <w:lvl w:ilvl="6" w:tplc="B722294C" w:tentative="1">
      <w:start w:val="1"/>
      <w:numFmt w:val="bullet"/>
      <w:lvlText w:val=""/>
      <w:lvlJc w:val="left"/>
      <w:pPr>
        <w:ind w:left="5040" w:hanging="360"/>
      </w:pPr>
      <w:rPr>
        <w:rFonts w:ascii="Symbol" w:hAnsi="Symbol" w:hint="default"/>
      </w:rPr>
    </w:lvl>
    <w:lvl w:ilvl="7" w:tplc="B2306392" w:tentative="1">
      <w:start w:val="1"/>
      <w:numFmt w:val="bullet"/>
      <w:lvlText w:val="o"/>
      <w:lvlJc w:val="left"/>
      <w:pPr>
        <w:ind w:left="5760" w:hanging="360"/>
      </w:pPr>
      <w:rPr>
        <w:rFonts w:ascii="Courier New" w:hAnsi="Courier New" w:cs="Courier New" w:hint="default"/>
      </w:rPr>
    </w:lvl>
    <w:lvl w:ilvl="8" w:tplc="2F763460" w:tentative="1">
      <w:start w:val="1"/>
      <w:numFmt w:val="bullet"/>
      <w:lvlText w:val=""/>
      <w:lvlJc w:val="left"/>
      <w:pPr>
        <w:ind w:left="6480" w:hanging="360"/>
      </w:pPr>
      <w:rPr>
        <w:rFonts w:ascii="Wingdings" w:hAnsi="Wingdings" w:hint="default"/>
      </w:rPr>
    </w:lvl>
  </w:abstractNum>
  <w:abstractNum w:abstractNumId="2"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6654C89"/>
    <w:multiLevelType w:val="hybridMultilevel"/>
    <w:tmpl w:val="D10A0F58"/>
    <w:lvl w:ilvl="0" w:tplc="EAB6E04A">
      <w:start w:val="1"/>
      <w:numFmt w:val="decimal"/>
      <w:lvlText w:val="%1."/>
      <w:lvlJc w:val="left"/>
      <w:pPr>
        <w:ind w:left="720" w:hanging="360"/>
      </w:pPr>
      <w:rPr>
        <w:rFonts w:hint="default"/>
      </w:rPr>
    </w:lvl>
    <w:lvl w:ilvl="1" w:tplc="17683916" w:tentative="1">
      <w:start w:val="1"/>
      <w:numFmt w:val="lowerLetter"/>
      <w:lvlText w:val="%2."/>
      <w:lvlJc w:val="left"/>
      <w:pPr>
        <w:ind w:left="1440" w:hanging="360"/>
      </w:pPr>
    </w:lvl>
    <w:lvl w:ilvl="2" w:tplc="5944E414" w:tentative="1">
      <w:start w:val="1"/>
      <w:numFmt w:val="lowerRoman"/>
      <w:lvlText w:val="%3."/>
      <w:lvlJc w:val="right"/>
      <w:pPr>
        <w:ind w:left="2160" w:hanging="180"/>
      </w:pPr>
    </w:lvl>
    <w:lvl w:ilvl="3" w:tplc="5C164DB0" w:tentative="1">
      <w:start w:val="1"/>
      <w:numFmt w:val="decimal"/>
      <w:lvlText w:val="%4."/>
      <w:lvlJc w:val="left"/>
      <w:pPr>
        <w:ind w:left="2880" w:hanging="360"/>
      </w:pPr>
    </w:lvl>
    <w:lvl w:ilvl="4" w:tplc="EEE457A6" w:tentative="1">
      <w:start w:val="1"/>
      <w:numFmt w:val="lowerLetter"/>
      <w:lvlText w:val="%5."/>
      <w:lvlJc w:val="left"/>
      <w:pPr>
        <w:ind w:left="3600" w:hanging="360"/>
      </w:pPr>
    </w:lvl>
    <w:lvl w:ilvl="5" w:tplc="DFDEE2F0" w:tentative="1">
      <w:start w:val="1"/>
      <w:numFmt w:val="lowerRoman"/>
      <w:lvlText w:val="%6."/>
      <w:lvlJc w:val="right"/>
      <w:pPr>
        <w:ind w:left="4320" w:hanging="180"/>
      </w:pPr>
    </w:lvl>
    <w:lvl w:ilvl="6" w:tplc="C172C09E" w:tentative="1">
      <w:start w:val="1"/>
      <w:numFmt w:val="decimal"/>
      <w:lvlText w:val="%7."/>
      <w:lvlJc w:val="left"/>
      <w:pPr>
        <w:ind w:left="5040" w:hanging="360"/>
      </w:pPr>
    </w:lvl>
    <w:lvl w:ilvl="7" w:tplc="14267AE2" w:tentative="1">
      <w:start w:val="1"/>
      <w:numFmt w:val="lowerLetter"/>
      <w:lvlText w:val="%8."/>
      <w:lvlJc w:val="left"/>
      <w:pPr>
        <w:ind w:left="5760" w:hanging="360"/>
      </w:pPr>
    </w:lvl>
    <w:lvl w:ilvl="8" w:tplc="CC9863F4" w:tentative="1">
      <w:start w:val="1"/>
      <w:numFmt w:val="lowerRoman"/>
      <w:lvlText w:val="%9."/>
      <w:lvlJc w:val="right"/>
      <w:pPr>
        <w:ind w:left="6480" w:hanging="180"/>
      </w:pPr>
    </w:lvl>
  </w:abstractNum>
  <w:abstractNum w:abstractNumId="4"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706EBC"/>
    <w:multiLevelType w:val="hybridMultilevel"/>
    <w:tmpl w:val="E61A217A"/>
    <w:lvl w:ilvl="0" w:tplc="7830356A">
      <w:start w:val="1"/>
      <w:numFmt w:val="decimal"/>
      <w:lvlText w:val="%1."/>
      <w:lvlJc w:val="left"/>
      <w:pPr>
        <w:ind w:left="644" w:hanging="360"/>
      </w:pPr>
      <w:rPr>
        <w:rFonts w:hint="default"/>
        <w:b w:val="0"/>
        <w:bCs/>
      </w:rPr>
    </w:lvl>
    <w:lvl w:ilvl="1" w:tplc="75DE497E" w:tentative="1">
      <w:start w:val="1"/>
      <w:numFmt w:val="lowerLetter"/>
      <w:lvlText w:val="%2."/>
      <w:lvlJc w:val="left"/>
      <w:pPr>
        <w:ind w:left="1364" w:hanging="360"/>
      </w:pPr>
    </w:lvl>
    <w:lvl w:ilvl="2" w:tplc="EE7CBF8A" w:tentative="1">
      <w:start w:val="1"/>
      <w:numFmt w:val="lowerRoman"/>
      <w:lvlText w:val="%3."/>
      <w:lvlJc w:val="right"/>
      <w:pPr>
        <w:ind w:left="2084" w:hanging="180"/>
      </w:pPr>
    </w:lvl>
    <w:lvl w:ilvl="3" w:tplc="8C16A40E" w:tentative="1">
      <w:start w:val="1"/>
      <w:numFmt w:val="decimal"/>
      <w:lvlText w:val="%4."/>
      <w:lvlJc w:val="left"/>
      <w:pPr>
        <w:ind w:left="2804" w:hanging="360"/>
      </w:pPr>
    </w:lvl>
    <w:lvl w:ilvl="4" w:tplc="4A286D94" w:tentative="1">
      <w:start w:val="1"/>
      <w:numFmt w:val="lowerLetter"/>
      <w:lvlText w:val="%5."/>
      <w:lvlJc w:val="left"/>
      <w:pPr>
        <w:ind w:left="3524" w:hanging="360"/>
      </w:pPr>
    </w:lvl>
    <w:lvl w:ilvl="5" w:tplc="5FBACB74" w:tentative="1">
      <w:start w:val="1"/>
      <w:numFmt w:val="lowerRoman"/>
      <w:lvlText w:val="%6."/>
      <w:lvlJc w:val="right"/>
      <w:pPr>
        <w:ind w:left="4244" w:hanging="180"/>
      </w:pPr>
    </w:lvl>
    <w:lvl w:ilvl="6" w:tplc="DBA02236" w:tentative="1">
      <w:start w:val="1"/>
      <w:numFmt w:val="decimal"/>
      <w:lvlText w:val="%7."/>
      <w:lvlJc w:val="left"/>
      <w:pPr>
        <w:ind w:left="4964" w:hanging="360"/>
      </w:pPr>
    </w:lvl>
    <w:lvl w:ilvl="7" w:tplc="B2E0DB0C" w:tentative="1">
      <w:start w:val="1"/>
      <w:numFmt w:val="lowerLetter"/>
      <w:lvlText w:val="%8."/>
      <w:lvlJc w:val="left"/>
      <w:pPr>
        <w:ind w:left="5684" w:hanging="360"/>
      </w:pPr>
    </w:lvl>
    <w:lvl w:ilvl="8" w:tplc="DF72C9EE" w:tentative="1">
      <w:start w:val="1"/>
      <w:numFmt w:val="lowerRoman"/>
      <w:lvlText w:val="%9."/>
      <w:lvlJc w:val="right"/>
      <w:pPr>
        <w:ind w:left="6404" w:hanging="180"/>
      </w:pPr>
    </w:lvl>
  </w:abstractNum>
  <w:abstractNum w:abstractNumId="6" w15:restartNumberingAfterBreak="0">
    <w:nsid w:val="1B2B670E"/>
    <w:multiLevelType w:val="hybridMultilevel"/>
    <w:tmpl w:val="B4966D54"/>
    <w:lvl w:ilvl="0" w:tplc="C3D2DA28">
      <w:start w:val="1"/>
      <w:numFmt w:val="decimal"/>
      <w:lvlText w:val="%1."/>
      <w:lvlJc w:val="left"/>
      <w:pPr>
        <w:ind w:left="720" w:hanging="360"/>
      </w:pPr>
      <w:rPr>
        <w:rFonts w:hint="default"/>
      </w:rPr>
    </w:lvl>
    <w:lvl w:ilvl="1" w:tplc="C352D1E8" w:tentative="1">
      <w:start w:val="1"/>
      <w:numFmt w:val="lowerLetter"/>
      <w:lvlText w:val="%2."/>
      <w:lvlJc w:val="left"/>
      <w:pPr>
        <w:ind w:left="1440" w:hanging="360"/>
      </w:pPr>
    </w:lvl>
    <w:lvl w:ilvl="2" w:tplc="2B769BAE" w:tentative="1">
      <w:start w:val="1"/>
      <w:numFmt w:val="lowerRoman"/>
      <w:lvlText w:val="%3."/>
      <w:lvlJc w:val="right"/>
      <w:pPr>
        <w:ind w:left="2160" w:hanging="180"/>
      </w:pPr>
    </w:lvl>
    <w:lvl w:ilvl="3" w:tplc="EF16DC7E" w:tentative="1">
      <w:start w:val="1"/>
      <w:numFmt w:val="decimal"/>
      <w:lvlText w:val="%4."/>
      <w:lvlJc w:val="left"/>
      <w:pPr>
        <w:ind w:left="2880" w:hanging="360"/>
      </w:pPr>
    </w:lvl>
    <w:lvl w:ilvl="4" w:tplc="555884DE" w:tentative="1">
      <w:start w:val="1"/>
      <w:numFmt w:val="lowerLetter"/>
      <w:lvlText w:val="%5."/>
      <w:lvlJc w:val="left"/>
      <w:pPr>
        <w:ind w:left="3600" w:hanging="360"/>
      </w:pPr>
    </w:lvl>
    <w:lvl w:ilvl="5" w:tplc="D200CD5C" w:tentative="1">
      <w:start w:val="1"/>
      <w:numFmt w:val="lowerRoman"/>
      <w:lvlText w:val="%6."/>
      <w:lvlJc w:val="right"/>
      <w:pPr>
        <w:ind w:left="4320" w:hanging="180"/>
      </w:pPr>
    </w:lvl>
    <w:lvl w:ilvl="6" w:tplc="FB58F8F8" w:tentative="1">
      <w:start w:val="1"/>
      <w:numFmt w:val="decimal"/>
      <w:lvlText w:val="%7."/>
      <w:lvlJc w:val="left"/>
      <w:pPr>
        <w:ind w:left="5040" w:hanging="360"/>
      </w:pPr>
    </w:lvl>
    <w:lvl w:ilvl="7" w:tplc="D42C1E2E" w:tentative="1">
      <w:start w:val="1"/>
      <w:numFmt w:val="lowerLetter"/>
      <w:lvlText w:val="%8."/>
      <w:lvlJc w:val="left"/>
      <w:pPr>
        <w:ind w:left="5760" w:hanging="360"/>
      </w:pPr>
    </w:lvl>
    <w:lvl w:ilvl="8" w:tplc="4E2E91A6" w:tentative="1">
      <w:start w:val="1"/>
      <w:numFmt w:val="lowerRoman"/>
      <w:lvlText w:val="%9."/>
      <w:lvlJc w:val="right"/>
      <w:pPr>
        <w:ind w:left="6480" w:hanging="180"/>
      </w:pPr>
    </w:lvl>
  </w:abstractNum>
  <w:abstractNum w:abstractNumId="7" w15:restartNumberingAfterBreak="0">
    <w:nsid w:val="1CD4228E"/>
    <w:multiLevelType w:val="hybridMultilevel"/>
    <w:tmpl w:val="AFD2B110"/>
    <w:lvl w:ilvl="0" w:tplc="81C28F8A">
      <w:start w:val="1"/>
      <w:numFmt w:val="decimal"/>
      <w:lvlText w:val="%1."/>
      <w:lvlJc w:val="left"/>
      <w:pPr>
        <w:ind w:left="720" w:hanging="360"/>
      </w:pPr>
    </w:lvl>
    <w:lvl w:ilvl="1" w:tplc="2FB0FB64" w:tentative="1">
      <w:start w:val="1"/>
      <w:numFmt w:val="lowerLetter"/>
      <w:lvlText w:val="%2."/>
      <w:lvlJc w:val="left"/>
      <w:pPr>
        <w:ind w:left="1440" w:hanging="360"/>
      </w:pPr>
    </w:lvl>
    <w:lvl w:ilvl="2" w:tplc="C47C7582" w:tentative="1">
      <w:start w:val="1"/>
      <w:numFmt w:val="lowerRoman"/>
      <w:lvlText w:val="%3."/>
      <w:lvlJc w:val="right"/>
      <w:pPr>
        <w:ind w:left="2160" w:hanging="180"/>
      </w:pPr>
    </w:lvl>
    <w:lvl w:ilvl="3" w:tplc="8354D3BE" w:tentative="1">
      <w:start w:val="1"/>
      <w:numFmt w:val="decimal"/>
      <w:lvlText w:val="%4."/>
      <w:lvlJc w:val="left"/>
      <w:pPr>
        <w:ind w:left="2880" w:hanging="360"/>
      </w:pPr>
    </w:lvl>
    <w:lvl w:ilvl="4" w:tplc="AA34350A" w:tentative="1">
      <w:start w:val="1"/>
      <w:numFmt w:val="lowerLetter"/>
      <w:lvlText w:val="%5."/>
      <w:lvlJc w:val="left"/>
      <w:pPr>
        <w:ind w:left="3600" w:hanging="360"/>
      </w:pPr>
    </w:lvl>
    <w:lvl w:ilvl="5" w:tplc="3118ACB8" w:tentative="1">
      <w:start w:val="1"/>
      <w:numFmt w:val="lowerRoman"/>
      <w:lvlText w:val="%6."/>
      <w:lvlJc w:val="right"/>
      <w:pPr>
        <w:ind w:left="4320" w:hanging="180"/>
      </w:pPr>
    </w:lvl>
    <w:lvl w:ilvl="6" w:tplc="C5420330" w:tentative="1">
      <w:start w:val="1"/>
      <w:numFmt w:val="decimal"/>
      <w:lvlText w:val="%7."/>
      <w:lvlJc w:val="left"/>
      <w:pPr>
        <w:ind w:left="5040" w:hanging="360"/>
      </w:pPr>
    </w:lvl>
    <w:lvl w:ilvl="7" w:tplc="92623412" w:tentative="1">
      <w:start w:val="1"/>
      <w:numFmt w:val="lowerLetter"/>
      <w:lvlText w:val="%8."/>
      <w:lvlJc w:val="left"/>
      <w:pPr>
        <w:ind w:left="5760" w:hanging="360"/>
      </w:pPr>
    </w:lvl>
    <w:lvl w:ilvl="8" w:tplc="26889B3E" w:tentative="1">
      <w:start w:val="1"/>
      <w:numFmt w:val="lowerRoman"/>
      <w:lvlText w:val="%9."/>
      <w:lvlJc w:val="right"/>
      <w:pPr>
        <w:ind w:left="6480" w:hanging="180"/>
      </w:pPr>
    </w:lvl>
  </w:abstractNum>
  <w:abstractNum w:abstractNumId="8" w15:restartNumberingAfterBreak="0">
    <w:nsid w:val="1EF02738"/>
    <w:multiLevelType w:val="hybridMultilevel"/>
    <w:tmpl w:val="73A4FA02"/>
    <w:lvl w:ilvl="0" w:tplc="5DE8F936">
      <w:start w:val="1"/>
      <w:numFmt w:val="decimal"/>
      <w:lvlText w:val="%1)"/>
      <w:lvlJc w:val="left"/>
      <w:pPr>
        <w:ind w:left="1440" w:hanging="360"/>
      </w:pPr>
    </w:lvl>
    <w:lvl w:ilvl="1" w:tplc="17D0CD38" w:tentative="1">
      <w:start w:val="1"/>
      <w:numFmt w:val="lowerLetter"/>
      <w:lvlText w:val="%2."/>
      <w:lvlJc w:val="left"/>
      <w:pPr>
        <w:ind w:left="2160" w:hanging="360"/>
      </w:pPr>
    </w:lvl>
    <w:lvl w:ilvl="2" w:tplc="82A8E814" w:tentative="1">
      <w:start w:val="1"/>
      <w:numFmt w:val="lowerRoman"/>
      <w:lvlText w:val="%3."/>
      <w:lvlJc w:val="right"/>
      <w:pPr>
        <w:ind w:left="2880" w:hanging="180"/>
      </w:pPr>
    </w:lvl>
    <w:lvl w:ilvl="3" w:tplc="DDEADA5A" w:tentative="1">
      <w:start w:val="1"/>
      <w:numFmt w:val="decimal"/>
      <w:lvlText w:val="%4."/>
      <w:lvlJc w:val="left"/>
      <w:pPr>
        <w:ind w:left="3600" w:hanging="360"/>
      </w:pPr>
    </w:lvl>
    <w:lvl w:ilvl="4" w:tplc="689A5FE2" w:tentative="1">
      <w:start w:val="1"/>
      <w:numFmt w:val="lowerLetter"/>
      <w:lvlText w:val="%5."/>
      <w:lvlJc w:val="left"/>
      <w:pPr>
        <w:ind w:left="4320" w:hanging="360"/>
      </w:pPr>
    </w:lvl>
    <w:lvl w:ilvl="5" w:tplc="C4DCAE4E" w:tentative="1">
      <w:start w:val="1"/>
      <w:numFmt w:val="lowerRoman"/>
      <w:lvlText w:val="%6."/>
      <w:lvlJc w:val="right"/>
      <w:pPr>
        <w:ind w:left="5040" w:hanging="180"/>
      </w:pPr>
    </w:lvl>
    <w:lvl w:ilvl="6" w:tplc="80909686" w:tentative="1">
      <w:start w:val="1"/>
      <w:numFmt w:val="decimal"/>
      <w:lvlText w:val="%7."/>
      <w:lvlJc w:val="left"/>
      <w:pPr>
        <w:ind w:left="5760" w:hanging="360"/>
      </w:pPr>
    </w:lvl>
    <w:lvl w:ilvl="7" w:tplc="35B24B60" w:tentative="1">
      <w:start w:val="1"/>
      <w:numFmt w:val="lowerLetter"/>
      <w:lvlText w:val="%8."/>
      <w:lvlJc w:val="left"/>
      <w:pPr>
        <w:ind w:left="6480" w:hanging="360"/>
      </w:pPr>
    </w:lvl>
    <w:lvl w:ilvl="8" w:tplc="37923210" w:tentative="1">
      <w:start w:val="1"/>
      <w:numFmt w:val="lowerRoman"/>
      <w:lvlText w:val="%9."/>
      <w:lvlJc w:val="right"/>
      <w:pPr>
        <w:ind w:left="7200" w:hanging="180"/>
      </w:pPr>
    </w:lvl>
  </w:abstractNum>
  <w:abstractNum w:abstractNumId="9"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79E19E4"/>
    <w:multiLevelType w:val="hybridMultilevel"/>
    <w:tmpl w:val="A7CEFB28"/>
    <w:lvl w:ilvl="0" w:tplc="0D8E5794">
      <w:start w:val="1"/>
      <w:numFmt w:val="decimal"/>
      <w:lvlText w:val="%1."/>
      <w:lvlJc w:val="left"/>
      <w:pPr>
        <w:ind w:left="720" w:hanging="360"/>
      </w:pPr>
      <w:rPr>
        <w:rFonts w:hint="default"/>
        <w:i w:val="0"/>
      </w:rPr>
    </w:lvl>
    <w:lvl w:ilvl="1" w:tplc="47F62D5A" w:tentative="1">
      <w:start w:val="1"/>
      <w:numFmt w:val="lowerLetter"/>
      <w:lvlText w:val="%2."/>
      <w:lvlJc w:val="left"/>
      <w:pPr>
        <w:ind w:left="1440" w:hanging="360"/>
      </w:pPr>
    </w:lvl>
    <w:lvl w:ilvl="2" w:tplc="3614FC8E" w:tentative="1">
      <w:start w:val="1"/>
      <w:numFmt w:val="lowerRoman"/>
      <w:lvlText w:val="%3."/>
      <w:lvlJc w:val="right"/>
      <w:pPr>
        <w:ind w:left="2160" w:hanging="180"/>
      </w:pPr>
    </w:lvl>
    <w:lvl w:ilvl="3" w:tplc="7AD0E346" w:tentative="1">
      <w:start w:val="1"/>
      <w:numFmt w:val="decimal"/>
      <w:lvlText w:val="%4."/>
      <w:lvlJc w:val="left"/>
      <w:pPr>
        <w:ind w:left="2880" w:hanging="360"/>
      </w:pPr>
    </w:lvl>
    <w:lvl w:ilvl="4" w:tplc="B12EAA6E" w:tentative="1">
      <w:start w:val="1"/>
      <w:numFmt w:val="lowerLetter"/>
      <w:lvlText w:val="%5."/>
      <w:lvlJc w:val="left"/>
      <w:pPr>
        <w:ind w:left="3600" w:hanging="360"/>
      </w:pPr>
    </w:lvl>
    <w:lvl w:ilvl="5" w:tplc="AA921866" w:tentative="1">
      <w:start w:val="1"/>
      <w:numFmt w:val="lowerRoman"/>
      <w:lvlText w:val="%6."/>
      <w:lvlJc w:val="right"/>
      <w:pPr>
        <w:ind w:left="4320" w:hanging="180"/>
      </w:pPr>
    </w:lvl>
    <w:lvl w:ilvl="6" w:tplc="6100C2B0" w:tentative="1">
      <w:start w:val="1"/>
      <w:numFmt w:val="decimal"/>
      <w:lvlText w:val="%7."/>
      <w:lvlJc w:val="left"/>
      <w:pPr>
        <w:ind w:left="5040" w:hanging="360"/>
      </w:pPr>
    </w:lvl>
    <w:lvl w:ilvl="7" w:tplc="4AD8C916" w:tentative="1">
      <w:start w:val="1"/>
      <w:numFmt w:val="lowerLetter"/>
      <w:lvlText w:val="%8."/>
      <w:lvlJc w:val="left"/>
      <w:pPr>
        <w:ind w:left="5760" w:hanging="360"/>
      </w:pPr>
    </w:lvl>
    <w:lvl w:ilvl="8" w:tplc="EBF4A2E4" w:tentative="1">
      <w:start w:val="1"/>
      <w:numFmt w:val="lowerRoman"/>
      <w:lvlText w:val="%9."/>
      <w:lvlJc w:val="right"/>
      <w:pPr>
        <w:ind w:left="6480" w:hanging="180"/>
      </w:pPr>
    </w:lvl>
  </w:abstractNum>
  <w:abstractNum w:abstractNumId="13" w15:restartNumberingAfterBreak="0">
    <w:nsid w:val="27E1248D"/>
    <w:multiLevelType w:val="hybridMultilevel"/>
    <w:tmpl w:val="F1BA149A"/>
    <w:lvl w:ilvl="0" w:tplc="2C38DCB6">
      <w:start w:val="1"/>
      <w:numFmt w:val="decimal"/>
      <w:pStyle w:val="Alishlah37itemize"/>
      <w:lvlText w:val="%1."/>
      <w:lvlJc w:val="left"/>
      <w:pPr>
        <w:ind w:left="720" w:hanging="360"/>
      </w:pPr>
    </w:lvl>
    <w:lvl w:ilvl="1" w:tplc="CDDAC1D4" w:tentative="1">
      <w:start w:val="1"/>
      <w:numFmt w:val="lowerLetter"/>
      <w:lvlText w:val="%2."/>
      <w:lvlJc w:val="left"/>
      <w:pPr>
        <w:ind w:left="1440" w:hanging="360"/>
      </w:pPr>
    </w:lvl>
    <w:lvl w:ilvl="2" w:tplc="8FDECFDE" w:tentative="1">
      <w:start w:val="1"/>
      <w:numFmt w:val="lowerRoman"/>
      <w:lvlText w:val="%3."/>
      <w:lvlJc w:val="right"/>
      <w:pPr>
        <w:ind w:left="2160" w:hanging="180"/>
      </w:pPr>
    </w:lvl>
    <w:lvl w:ilvl="3" w:tplc="0BAE7FE6" w:tentative="1">
      <w:start w:val="1"/>
      <w:numFmt w:val="decimal"/>
      <w:lvlText w:val="%4."/>
      <w:lvlJc w:val="left"/>
      <w:pPr>
        <w:ind w:left="2880" w:hanging="360"/>
      </w:pPr>
    </w:lvl>
    <w:lvl w:ilvl="4" w:tplc="37E488B8" w:tentative="1">
      <w:start w:val="1"/>
      <w:numFmt w:val="lowerLetter"/>
      <w:lvlText w:val="%5."/>
      <w:lvlJc w:val="left"/>
      <w:pPr>
        <w:ind w:left="3600" w:hanging="360"/>
      </w:pPr>
    </w:lvl>
    <w:lvl w:ilvl="5" w:tplc="64F8F26E" w:tentative="1">
      <w:start w:val="1"/>
      <w:numFmt w:val="lowerRoman"/>
      <w:lvlText w:val="%6."/>
      <w:lvlJc w:val="right"/>
      <w:pPr>
        <w:ind w:left="4320" w:hanging="180"/>
      </w:pPr>
    </w:lvl>
    <w:lvl w:ilvl="6" w:tplc="3082341C" w:tentative="1">
      <w:start w:val="1"/>
      <w:numFmt w:val="decimal"/>
      <w:lvlText w:val="%7."/>
      <w:lvlJc w:val="left"/>
      <w:pPr>
        <w:ind w:left="5040" w:hanging="360"/>
      </w:pPr>
    </w:lvl>
    <w:lvl w:ilvl="7" w:tplc="6D221404" w:tentative="1">
      <w:start w:val="1"/>
      <w:numFmt w:val="lowerLetter"/>
      <w:lvlText w:val="%8."/>
      <w:lvlJc w:val="left"/>
      <w:pPr>
        <w:ind w:left="5760" w:hanging="360"/>
      </w:pPr>
    </w:lvl>
    <w:lvl w:ilvl="8" w:tplc="492EF298" w:tentative="1">
      <w:start w:val="1"/>
      <w:numFmt w:val="lowerRoman"/>
      <w:lvlText w:val="%9."/>
      <w:lvlJc w:val="right"/>
      <w:pPr>
        <w:ind w:left="6480" w:hanging="180"/>
      </w:pPr>
    </w:lvl>
  </w:abstractNum>
  <w:abstractNum w:abstractNumId="14" w15:restartNumberingAfterBreak="0">
    <w:nsid w:val="286D05B8"/>
    <w:multiLevelType w:val="hybridMultilevel"/>
    <w:tmpl w:val="6E1A64AA"/>
    <w:lvl w:ilvl="0" w:tplc="192E83BA">
      <w:start w:val="1"/>
      <w:numFmt w:val="lowerLetter"/>
      <w:lvlText w:val="%1."/>
      <w:lvlJc w:val="left"/>
      <w:pPr>
        <w:ind w:left="786" w:hanging="360"/>
      </w:pPr>
      <w:rPr>
        <w:rFonts w:hint="default"/>
      </w:rPr>
    </w:lvl>
    <w:lvl w:ilvl="1" w:tplc="069E286C" w:tentative="1">
      <w:start w:val="1"/>
      <w:numFmt w:val="lowerLetter"/>
      <w:lvlText w:val="%2."/>
      <w:lvlJc w:val="left"/>
      <w:pPr>
        <w:ind w:left="1506" w:hanging="360"/>
      </w:pPr>
    </w:lvl>
    <w:lvl w:ilvl="2" w:tplc="10DE53D2" w:tentative="1">
      <w:start w:val="1"/>
      <w:numFmt w:val="lowerRoman"/>
      <w:lvlText w:val="%3."/>
      <w:lvlJc w:val="right"/>
      <w:pPr>
        <w:ind w:left="2226" w:hanging="180"/>
      </w:pPr>
    </w:lvl>
    <w:lvl w:ilvl="3" w:tplc="2F4CCFFA" w:tentative="1">
      <w:start w:val="1"/>
      <w:numFmt w:val="decimal"/>
      <w:lvlText w:val="%4."/>
      <w:lvlJc w:val="left"/>
      <w:pPr>
        <w:ind w:left="2946" w:hanging="360"/>
      </w:pPr>
    </w:lvl>
    <w:lvl w:ilvl="4" w:tplc="4E6CE07A" w:tentative="1">
      <w:start w:val="1"/>
      <w:numFmt w:val="lowerLetter"/>
      <w:lvlText w:val="%5."/>
      <w:lvlJc w:val="left"/>
      <w:pPr>
        <w:ind w:left="3666" w:hanging="360"/>
      </w:pPr>
    </w:lvl>
    <w:lvl w:ilvl="5" w:tplc="4BB4BCF2" w:tentative="1">
      <w:start w:val="1"/>
      <w:numFmt w:val="lowerRoman"/>
      <w:lvlText w:val="%6."/>
      <w:lvlJc w:val="right"/>
      <w:pPr>
        <w:ind w:left="4386" w:hanging="180"/>
      </w:pPr>
    </w:lvl>
    <w:lvl w:ilvl="6" w:tplc="3920E318" w:tentative="1">
      <w:start w:val="1"/>
      <w:numFmt w:val="decimal"/>
      <w:lvlText w:val="%7."/>
      <w:lvlJc w:val="left"/>
      <w:pPr>
        <w:ind w:left="5106" w:hanging="360"/>
      </w:pPr>
    </w:lvl>
    <w:lvl w:ilvl="7" w:tplc="B31E06EE" w:tentative="1">
      <w:start w:val="1"/>
      <w:numFmt w:val="lowerLetter"/>
      <w:lvlText w:val="%8."/>
      <w:lvlJc w:val="left"/>
      <w:pPr>
        <w:ind w:left="5826" w:hanging="360"/>
      </w:pPr>
    </w:lvl>
    <w:lvl w:ilvl="8" w:tplc="3EB89C4E" w:tentative="1">
      <w:start w:val="1"/>
      <w:numFmt w:val="lowerRoman"/>
      <w:lvlText w:val="%9."/>
      <w:lvlJc w:val="right"/>
      <w:pPr>
        <w:ind w:left="6546" w:hanging="180"/>
      </w:pPr>
    </w:lvl>
  </w:abstractNum>
  <w:abstractNum w:abstractNumId="15" w15:restartNumberingAfterBreak="0">
    <w:nsid w:val="28DE7F6C"/>
    <w:multiLevelType w:val="hybridMultilevel"/>
    <w:tmpl w:val="3D3C9A2C"/>
    <w:lvl w:ilvl="0" w:tplc="7D2A1136">
      <w:start w:val="1"/>
      <w:numFmt w:val="decimal"/>
      <w:lvlText w:val="(%1)"/>
      <w:lvlJc w:val="left"/>
      <w:pPr>
        <w:ind w:left="1440" w:hanging="360"/>
      </w:pPr>
      <w:rPr>
        <w:rFonts w:hint="default"/>
      </w:rPr>
    </w:lvl>
    <w:lvl w:ilvl="1" w:tplc="8026B3EC" w:tentative="1">
      <w:start w:val="1"/>
      <w:numFmt w:val="lowerLetter"/>
      <w:lvlText w:val="%2."/>
      <w:lvlJc w:val="left"/>
      <w:pPr>
        <w:ind w:left="2160" w:hanging="360"/>
      </w:pPr>
    </w:lvl>
    <w:lvl w:ilvl="2" w:tplc="01547628" w:tentative="1">
      <w:start w:val="1"/>
      <w:numFmt w:val="lowerRoman"/>
      <w:lvlText w:val="%3."/>
      <w:lvlJc w:val="right"/>
      <w:pPr>
        <w:ind w:left="2880" w:hanging="180"/>
      </w:pPr>
    </w:lvl>
    <w:lvl w:ilvl="3" w:tplc="77021656" w:tentative="1">
      <w:start w:val="1"/>
      <w:numFmt w:val="decimal"/>
      <w:lvlText w:val="%4."/>
      <w:lvlJc w:val="left"/>
      <w:pPr>
        <w:ind w:left="3600" w:hanging="360"/>
      </w:pPr>
    </w:lvl>
    <w:lvl w:ilvl="4" w:tplc="43BE4480" w:tentative="1">
      <w:start w:val="1"/>
      <w:numFmt w:val="lowerLetter"/>
      <w:lvlText w:val="%5."/>
      <w:lvlJc w:val="left"/>
      <w:pPr>
        <w:ind w:left="4320" w:hanging="360"/>
      </w:pPr>
    </w:lvl>
    <w:lvl w:ilvl="5" w:tplc="6590DDFC" w:tentative="1">
      <w:start w:val="1"/>
      <w:numFmt w:val="lowerRoman"/>
      <w:lvlText w:val="%6."/>
      <w:lvlJc w:val="right"/>
      <w:pPr>
        <w:ind w:left="5040" w:hanging="180"/>
      </w:pPr>
    </w:lvl>
    <w:lvl w:ilvl="6" w:tplc="8EA2879A" w:tentative="1">
      <w:start w:val="1"/>
      <w:numFmt w:val="decimal"/>
      <w:lvlText w:val="%7."/>
      <w:lvlJc w:val="left"/>
      <w:pPr>
        <w:ind w:left="5760" w:hanging="360"/>
      </w:pPr>
    </w:lvl>
    <w:lvl w:ilvl="7" w:tplc="A83201CA" w:tentative="1">
      <w:start w:val="1"/>
      <w:numFmt w:val="lowerLetter"/>
      <w:lvlText w:val="%8."/>
      <w:lvlJc w:val="left"/>
      <w:pPr>
        <w:ind w:left="6480" w:hanging="360"/>
      </w:pPr>
    </w:lvl>
    <w:lvl w:ilvl="8" w:tplc="1DF8F608" w:tentative="1">
      <w:start w:val="1"/>
      <w:numFmt w:val="lowerRoman"/>
      <w:lvlText w:val="%9."/>
      <w:lvlJc w:val="right"/>
      <w:pPr>
        <w:ind w:left="7200" w:hanging="180"/>
      </w:pPr>
    </w:lvl>
  </w:abstractNum>
  <w:abstractNum w:abstractNumId="16"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573EDE"/>
    <w:multiLevelType w:val="hybridMultilevel"/>
    <w:tmpl w:val="A1F8503E"/>
    <w:lvl w:ilvl="0" w:tplc="DE3887C8">
      <w:start w:val="1"/>
      <w:numFmt w:val="decimal"/>
      <w:lvlText w:val="%1."/>
      <w:lvlJc w:val="left"/>
      <w:pPr>
        <w:ind w:left="720" w:hanging="360"/>
      </w:pPr>
      <w:rPr>
        <w:rFonts w:hint="default"/>
      </w:rPr>
    </w:lvl>
    <w:lvl w:ilvl="1" w:tplc="70AE2E2C" w:tentative="1">
      <w:start w:val="1"/>
      <w:numFmt w:val="lowerLetter"/>
      <w:lvlText w:val="%2."/>
      <w:lvlJc w:val="left"/>
      <w:pPr>
        <w:ind w:left="1440" w:hanging="360"/>
      </w:pPr>
    </w:lvl>
    <w:lvl w:ilvl="2" w:tplc="DE588896" w:tentative="1">
      <w:start w:val="1"/>
      <w:numFmt w:val="lowerRoman"/>
      <w:lvlText w:val="%3."/>
      <w:lvlJc w:val="right"/>
      <w:pPr>
        <w:ind w:left="2160" w:hanging="180"/>
      </w:pPr>
    </w:lvl>
    <w:lvl w:ilvl="3" w:tplc="498840D6" w:tentative="1">
      <w:start w:val="1"/>
      <w:numFmt w:val="decimal"/>
      <w:lvlText w:val="%4."/>
      <w:lvlJc w:val="left"/>
      <w:pPr>
        <w:ind w:left="2880" w:hanging="360"/>
      </w:pPr>
    </w:lvl>
    <w:lvl w:ilvl="4" w:tplc="E0E675B2" w:tentative="1">
      <w:start w:val="1"/>
      <w:numFmt w:val="lowerLetter"/>
      <w:lvlText w:val="%5."/>
      <w:lvlJc w:val="left"/>
      <w:pPr>
        <w:ind w:left="3600" w:hanging="360"/>
      </w:pPr>
    </w:lvl>
    <w:lvl w:ilvl="5" w:tplc="CF4C3EF4" w:tentative="1">
      <w:start w:val="1"/>
      <w:numFmt w:val="lowerRoman"/>
      <w:lvlText w:val="%6."/>
      <w:lvlJc w:val="right"/>
      <w:pPr>
        <w:ind w:left="4320" w:hanging="180"/>
      </w:pPr>
    </w:lvl>
    <w:lvl w:ilvl="6" w:tplc="951CCCCE" w:tentative="1">
      <w:start w:val="1"/>
      <w:numFmt w:val="decimal"/>
      <w:lvlText w:val="%7."/>
      <w:lvlJc w:val="left"/>
      <w:pPr>
        <w:ind w:left="5040" w:hanging="360"/>
      </w:pPr>
    </w:lvl>
    <w:lvl w:ilvl="7" w:tplc="A01860A6" w:tentative="1">
      <w:start w:val="1"/>
      <w:numFmt w:val="lowerLetter"/>
      <w:lvlText w:val="%8."/>
      <w:lvlJc w:val="left"/>
      <w:pPr>
        <w:ind w:left="5760" w:hanging="360"/>
      </w:pPr>
    </w:lvl>
    <w:lvl w:ilvl="8" w:tplc="23BC3D2E" w:tentative="1">
      <w:start w:val="1"/>
      <w:numFmt w:val="lowerRoman"/>
      <w:lvlText w:val="%9."/>
      <w:lvlJc w:val="right"/>
      <w:pPr>
        <w:ind w:left="6480" w:hanging="180"/>
      </w:pPr>
    </w:lvl>
  </w:abstractNum>
  <w:abstractNum w:abstractNumId="19" w15:restartNumberingAfterBreak="0">
    <w:nsid w:val="369A6535"/>
    <w:multiLevelType w:val="hybridMultilevel"/>
    <w:tmpl w:val="3CB68362"/>
    <w:lvl w:ilvl="0" w:tplc="924E3D16">
      <w:start w:val="1"/>
      <w:numFmt w:val="bullet"/>
      <w:pStyle w:val="Alishlah38bullet"/>
      <w:lvlText w:val=""/>
      <w:lvlJc w:val="left"/>
      <w:pPr>
        <w:ind w:left="1429" w:hanging="360"/>
      </w:pPr>
      <w:rPr>
        <w:rFonts w:ascii="Symbol" w:hAnsi="Symbol" w:hint="default"/>
      </w:rPr>
    </w:lvl>
    <w:lvl w:ilvl="1" w:tplc="F390A0AE" w:tentative="1">
      <w:start w:val="1"/>
      <w:numFmt w:val="bullet"/>
      <w:lvlText w:val="o"/>
      <w:lvlJc w:val="left"/>
      <w:pPr>
        <w:ind w:left="2149" w:hanging="360"/>
      </w:pPr>
      <w:rPr>
        <w:rFonts w:ascii="Courier New" w:hAnsi="Courier New" w:cs="Courier New" w:hint="default"/>
      </w:rPr>
    </w:lvl>
    <w:lvl w:ilvl="2" w:tplc="A740DB7E" w:tentative="1">
      <w:start w:val="1"/>
      <w:numFmt w:val="bullet"/>
      <w:lvlText w:val=""/>
      <w:lvlJc w:val="left"/>
      <w:pPr>
        <w:ind w:left="2869" w:hanging="360"/>
      </w:pPr>
      <w:rPr>
        <w:rFonts w:ascii="Wingdings" w:hAnsi="Wingdings" w:hint="default"/>
      </w:rPr>
    </w:lvl>
    <w:lvl w:ilvl="3" w:tplc="024C9122" w:tentative="1">
      <w:start w:val="1"/>
      <w:numFmt w:val="bullet"/>
      <w:lvlText w:val=""/>
      <w:lvlJc w:val="left"/>
      <w:pPr>
        <w:ind w:left="3589" w:hanging="360"/>
      </w:pPr>
      <w:rPr>
        <w:rFonts w:ascii="Symbol" w:hAnsi="Symbol" w:hint="default"/>
      </w:rPr>
    </w:lvl>
    <w:lvl w:ilvl="4" w:tplc="3F4834B6" w:tentative="1">
      <w:start w:val="1"/>
      <w:numFmt w:val="bullet"/>
      <w:lvlText w:val="o"/>
      <w:lvlJc w:val="left"/>
      <w:pPr>
        <w:ind w:left="4309" w:hanging="360"/>
      </w:pPr>
      <w:rPr>
        <w:rFonts w:ascii="Courier New" w:hAnsi="Courier New" w:cs="Courier New" w:hint="default"/>
      </w:rPr>
    </w:lvl>
    <w:lvl w:ilvl="5" w:tplc="B54A4EF4" w:tentative="1">
      <w:start w:val="1"/>
      <w:numFmt w:val="bullet"/>
      <w:lvlText w:val=""/>
      <w:lvlJc w:val="left"/>
      <w:pPr>
        <w:ind w:left="5029" w:hanging="360"/>
      </w:pPr>
      <w:rPr>
        <w:rFonts w:ascii="Wingdings" w:hAnsi="Wingdings" w:hint="default"/>
      </w:rPr>
    </w:lvl>
    <w:lvl w:ilvl="6" w:tplc="7F929168" w:tentative="1">
      <w:start w:val="1"/>
      <w:numFmt w:val="bullet"/>
      <w:lvlText w:val=""/>
      <w:lvlJc w:val="left"/>
      <w:pPr>
        <w:ind w:left="5749" w:hanging="360"/>
      </w:pPr>
      <w:rPr>
        <w:rFonts w:ascii="Symbol" w:hAnsi="Symbol" w:hint="default"/>
      </w:rPr>
    </w:lvl>
    <w:lvl w:ilvl="7" w:tplc="CA1E7A2C" w:tentative="1">
      <w:start w:val="1"/>
      <w:numFmt w:val="bullet"/>
      <w:lvlText w:val="o"/>
      <w:lvlJc w:val="left"/>
      <w:pPr>
        <w:ind w:left="6469" w:hanging="360"/>
      </w:pPr>
      <w:rPr>
        <w:rFonts w:ascii="Courier New" w:hAnsi="Courier New" w:cs="Courier New" w:hint="default"/>
      </w:rPr>
    </w:lvl>
    <w:lvl w:ilvl="8" w:tplc="451CA8DE" w:tentative="1">
      <w:start w:val="1"/>
      <w:numFmt w:val="bullet"/>
      <w:lvlText w:val=""/>
      <w:lvlJc w:val="left"/>
      <w:pPr>
        <w:ind w:left="7189" w:hanging="360"/>
      </w:pPr>
      <w:rPr>
        <w:rFonts w:ascii="Wingdings" w:hAnsi="Wingdings" w:hint="default"/>
      </w:rPr>
    </w:lvl>
  </w:abstractNum>
  <w:abstractNum w:abstractNumId="20" w15:restartNumberingAfterBreak="0">
    <w:nsid w:val="3E9215AA"/>
    <w:multiLevelType w:val="hybridMultilevel"/>
    <w:tmpl w:val="F7AE8122"/>
    <w:lvl w:ilvl="0" w:tplc="E430826A">
      <w:start w:val="1"/>
      <w:numFmt w:val="decimal"/>
      <w:lvlText w:val="%1."/>
      <w:lvlJc w:val="left"/>
      <w:pPr>
        <w:ind w:left="927" w:hanging="360"/>
      </w:pPr>
      <w:rPr>
        <w:rFonts w:hint="default"/>
      </w:rPr>
    </w:lvl>
    <w:lvl w:ilvl="1" w:tplc="AB5C6294" w:tentative="1">
      <w:start w:val="1"/>
      <w:numFmt w:val="lowerLetter"/>
      <w:lvlText w:val="%2."/>
      <w:lvlJc w:val="left"/>
      <w:pPr>
        <w:ind w:left="1647" w:hanging="360"/>
      </w:pPr>
    </w:lvl>
    <w:lvl w:ilvl="2" w:tplc="3954BB88" w:tentative="1">
      <w:start w:val="1"/>
      <w:numFmt w:val="lowerRoman"/>
      <w:lvlText w:val="%3."/>
      <w:lvlJc w:val="right"/>
      <w:pPr>
        <w:ind w:left="2367" w:hanging="180"/>
      </w:pPr>
    </w:lvl>
    <w:lvl w:ilvl="3" w:tplc="FA507E54" w:tentative="1">
      <w:start w:val="1"/>
      <w:numFmt w:val="decimal"/>
      <w:lvlText w:val="%4."/>
      <w:lvlJc w:val="left"/>
      <w:pPr>
        <w:ind w:left="3087" w:hanging="360"/>
      </w:pPr>
    </w:lvl>
    <w:lvl w:ilvl="4" w:tplc="DC265068" w:tentative="1">
      <w:start w:val="1"/>
      <w:numFmt w:val="lowerLetter"/>
      <w:lvlText w:val="%5."/>
      <w:lvlJc w:val="left"/>
      <w:pPr>
        <w:ind w:left="3807" w:hanging="360"/>
      </w:pPr>
    </w:lvl>
    <w:lvl w:ilvl="5" w:tplc="14FA16B8" w:tentative="1">
      <w:start w:val="1"/>
      <w:numFmt w:val="lowerRoman"/>
      <w:lvlText w:val="%6."/>
      <w:lvlJc w:val="right"/>
      <w:pPr>
        <w:ind w:left="4527" w:hanging="180"/>
      </w:pPr>
    </w:lvl>
    <w:lvl w:ilvl="6" w:tplc="FBC8B894" w:tentative="1">
      <w:start w:val="1"/>
      <w:numFmt w:val="decimal"/>
      <w:lvlText w:val="%7."/>
      <w:lvlJc w:val="left"/>
      <w:pPr>
        <w:ind w:left="5247" w:hanging="360"/>
      </w:pPr>
    </w:lvl>
    <w:lvl w:ilvl="7" w:tplc="81F06792" w:tentative="1">
      <w:start w:val="1"/>
      <w:numFmt w:val="lowerLetter"/>
      <w:lvlText w:val="%8."/>
      <w:lvlJc w:val="left"/>
      <w:pPr>
        <w:ind w:left="5967" w:hanging="360"/>
      </w:pPr>
    </w:lvl>
    <w:lvl w:ilvl="8" w:tplc="D3A4BEF4" w:tentative="1">
      <w:start w:val="1"/>
      <w:numFmt w:val="lowerRoman"/>
      <w:lvlText w:val="%9."/>
      <w:lvlJc w:val="right"/>
      <w:pPr>
        <w:ind w:left="6687" w:hanging="180"/>
      </w:pPr>
    </w:lvl>
  </w:abstractNum>
  <w:abstractNum w:abstractNumId="21"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9C484F"/>
    <w:multiLevelType w:val="hybridMultilevel"/>
    <w:tmpl w:val="6234B8EA"/>
    <w:lvl w:ilvl="0" w:tplc="056AEC1E">
      <w:start w:val="1"/>
      <w:numFmt w:val="decimal"/>
      <w:lvlText w:val="%1."/>
      <w:lvlJc w:val="left"/>
      <w:pPr>
        <w:ind w:left="720" w:hanging="360"/>
      </w:pPr>
    </w:lvl>
    <w:lvl w:ilvl="1" w:tplc="E76EE26C" w:tentative="1">
      <w:start w:val="1"/>
      <w:numFmt w:val="lowerLetter"/>
      <w:lvlText w:val="%2."/>
      <w:lvlJc w:val="left"/>
      <w:pPr>
        <w:ind w:left="1440" w:hanging="360"/>
      </w:pPr>
    </w:lvl>
    <w:lvl w:ilvl="2" w:tplc="EB187E92" w:tentative="1">
      <w:start w:val="1"/>
      <w:numFmt w:val="lowerRoman"/>
      <w:lvlText w:val="%3."/>
      <w:lvlJc w:val="right"/>
      <w:pPr>
        <w:ind w:left="2160" w:hanging="180"/>
      </w:pPr>
    </w:lvl>
    <w:lvl w:ilvl="3" w:tplc="21AACE28" w:tentative="1">
      <w:start w:val="1"/>
      <w:numFmt w:val="decimal"/>
      <w:lvlText w:val="%4."/>
      <w:lvlJc w:val="left"/>
      <w:pPr>
        <w:ind w:left="2880" w:hanging="360"/>
      </w:pPr>
    </w:lvl>
    <w:lvl w:ilvl="4" w:tplc="505A20F6" w:tentative="1">
      <w:start w:val="1"/>
      <w:numFmt w:val="lowerLetter"/>
      <w:lvlText w:val="%5."/>
      <w:lvlJc w:val="left"/>
      <w:pPr>
        <w:ind w:left="3600" w:hanging="360"/>
      </w:pPr>
    </w:lvl>
    <w:lvl w:ilvl="5" w:tplc="C3C26872" w:tentative="1">
      <w:start w:val="1"/>
      <w:numFmt w:val="lowerRoman"/>
      <w:lvlText w:val="%6."/>
      <w:lvlJc w:val="right"/>
      <w:pPr>
        <w:ind w:left="4320" w:hanging="180"/>
      </w:pPr>
    </w:lvl>
    <w:lvl w:ilvl="6" w:tplc="3BAA7CF0" w:tentative="1">
      <w:start w:val="1"/>
      <w:numFmt w:val="decimal"/>
      <w:lvlText w:val="%7."/>
      <w:lvlJc w:val="left"/>
      <w:pPr>
        <w:ind w:left="5040" w:hanging="360"/>
      </w:pPr>
    </w:lvl>
    <w:lvl w:ilvl="7" w:tplc="67D25358" w:tentative="1">
      <w:start w:val="1"/>
      <w:numFmt w:val="lowerLetter"/>
      <w:lvlText w:val="%8."/>
      <w:lvlJc w:val="left"/>
      <w:pPr>
        <w:ind w:left="5760" w:hanging="360"/>
      </w:pPr>
    </w:lvl>
    <w:lvl w:ilvl="8" w:tplc="DC28A8D6" w:tentative="1">
      <w:start w:val="1"/>
      <w:numFmt w:val="lowerRoman"/>
      <w:lvlText w:val="%9."/>
      <w:lvlJc w:val="right"/>
      <w:pPr>
        <w:ind w:left="6480" w:hanging="180"/>
      </w:pPr>
    </w:lvl>
  </w:abstractNum>
  <w:abstractNum w:abstractNumId="23" w15:restartNumberingAfterBreak="0">
    <w:nsid w:val="4FDF5A5D"/>
    <w:multiLevelType w:val="hybridMultilevel"/>
    <w:tmpl w:val="EEFE24FA"/>
    <w:lvl w:ilvl="0" w:tplc="C3C8570C">
      <w:start w:val="1"/>
      <w:numFmt w:val="decimal"/>
      <w:lvlText w:val="%1."/>
      <w:lvlJc w:val="left"/>
      <w:pPr>
        <w:ind w:left="720" w:hanging="360"/>
      </w:pPr>
    </w:lvl>
    <w:lvl w:ilvl="1" w:tplc="C8A88A76" w:tentative="1">
      <w:start w:val="1"/>
      <w:numFmt w:val="lowerLetter"/>
      <w:lvlText w:val="%2."/>
      <w:lvlJc w:val="left"/>
      <w:pPr>
        <w:ind w:left="1440" w:hanging="360"/>
      </w:pPr>
    </w:lvl>
    <w:lvl w:ilvl="2" w:tplc="6E2E4BD6" w:tentative="1">
      <w:start w:val="1"/>
      <w:numFmt w:val="lowerRoman"/>
      <w:lvlText w:val="%3."/>
      <w:lvlJc w:val="right"/>
      <w:pPr>
        <w:ind w:left="2160" w:hanging="180"/>
      </w:pPr>
    </w:lvl>
    <w:lvl w:ilvl="3" w:tplc="AFF4BCF6" w:tentative="1">
      <w:start w:val="1"/>
      <w:numFmt w:val="decimal"/>
      <w:lvlText w:val="%4."/>
      <w:lvlJc w:val="left"/>
      <w:pPr>
        <w:ind w:left="2880" w:hanging="360"/>
      </w:pPr>
    </w:lvl>
    <w:lvl w:ilvl="4" w:tplc="C49C39CA" w:tentative="1">
      <w:start w:val="1"/>
      <w:numFmt w:val="lowerLetter"/>
      <w:lvlText w:val="%5."/>
      <w:lvlJc w:val="left"/>
      <w:pPr>
        <w:ind w:left="3600" w:hanging="360"/>
      </w:pPr>
    </w:lvl>
    <w:lvl w:ilvl="5" w:tplc="440E3EF6" w:tentative="1">
      <w:start w:val="1"/>
      <w:numFmt w:val="lowerRoman"/>
      <w:lvlText w:val="%6."/>
      <w:lvlJc w:val="right"/>
      <w:pPr>
        <w:ind w:left="4320" w:hanging="180"/>
      </w:pPr>
    </w:lvl>
    <w:lvl w:ilvl="6" w:tplc="AE8E174A" w:tentative="1">
      <w:start w:val="1"/>
      <w:numFmt w:val="decimal"/>
      <w:lvlText w:val="%7."/>
      <w:lvlJc w:val="left"/>
      <w:pPr>
        <w:ind w:left="5040" w:hanging="360"/>
      </w:pPr>
    </w:lvl>
    <w:lvl w:ilvl="7" w:tplc="BDEA358E" w:tentative="1">
      <w:start w:val="1"/>
      <w:numFmt w:val="lowerLetter"/>
      <w:lvlText w:val="%8."/>
      <w:lvlJc w:val="left"/>
      <w:pPr>
        <w:ind w:left="5760" w:hanging="360"/>
      </w:pPr>
    </w:lvl>
    <w:lvl w:ilvl="8" w:tplc="D638A22C" w:tentative="1">
      <w:start w:val="1"/>
      <w:numFmt w:val="lowerRoman"/>
      <w:lvlText w:val="%9."/>
      <w:lvlJc w:val="right"/>
      <w:pPr>
        <w:ind w:left="6480" w:hanging="180"/>
      </w:pPr>
    </w:lvl>
  </w:abstractNum>
  <w:abstractNum w:abstractNumId="24"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23315F"/>
    <w:multiLevelType w:val="hybridMultilevel"/>
    <w:tmpl w:val="925412FE"/>
    <w:lvl w:ilvl="0" w:tplc="4EE4FA24">
      <w:start w:val="1"/>
      <w:numFmt w:val="lowerLetter"/>
      <w:lvlText w:val="%1."/>
      <w:lvlJc w:val="left"/>
      <w:pPr>
        <w:ind w:left="644" w:hanging="360"/>
      </w:pPr>
      <w:rPr>
        <w:rFonts w:ascii="Palatino Linotype" w:eastAsia="Times New Roman" w:hAnsi="Palatino Linotype" w:cs="Times New Roman"/>
      </w:rPr>
    </w:lvl>
    <w:lvl w:ilvl="1" w:tplc="DD7EEEAE" w:tentative="1">
      <w:start w:val="1"/>
      <w:numFmt w:val="lowerLetter"/>
      <w:lvlText w:val="%2."/>
      <w:lvlJc w:val="left"/>
      <w:pPr>
        <w:ind w:left="1364" w:hanging="360"/>
      </w:pPr>
    </w:lvl>
    <w:lvl w:ilvl="2" w:tplc="3D1CA3DC" w:tentative="1">
      <w:start w:val="1"/>
      <w:numFmt w:val="lowerRoman"/>
      <w:lvlText w:val="%3."/>
      <w:lvlJc w:val="right"/>
      <w:pPr>
        <w:ind w:left="2084" w:hanging="180"/>
      </w:pPr>
    </w:lvl>
    <w:lvl w:ilvl="3" w:tplc="9C2258D4" w:tentative="1">
      <w:start w:val="1"/>
      <w:numFmt w:val="decimal"/>
      <w:lvlText w:val="%4."/>
      <w:lvlJc w:val="left"/>
      <w:pPr>
        <w:ind w:left="2804" w:hanging="360"/>
      </w:pPr>
    </w:lvl>
    <w:lvl w:ilvl="4" w:tplc="3B86F04A" w:tentative="1">
      <w:start w:val="1"/>
      <w:numFmt w:val="lowerLetter"/>
      <w:lvlText w:val="%5."/>
      <w:lvlJc w:val="left"/>
      <w:pPr>
        <w:ind w:left="3524" w:hanging="360"/>
      </w:pPr>
    </w:lvl>
    <w:lvl w:ilvl="5" w:tplc="DBE0D992" w:tentative="1">
      <w:start w:val="1"/>
      <w:numFmt w:val="lowerRoman"/>
      <w:lvlText w:val="%6."/>
      <w:lvlJc w:val="right"/>
      <w:pPr>
        <w:ind w:left="4244" w:hanging="180"/>
      </w:pPr>
    </w:lvl>
    <w:lvl w:ilvl="6" w:tplc="2D5EEDB2" w:tentative="1">
      <w:start w:val="1"/>
      <w:numFmt w:val="decimal"/>
      <w:lvlText w:val="%7."/>
      <w:lvlJc w:val="left"/>
      <w:pPr>
        <w:ind w:left="4964" w:hanging="360"/>
      </w:pPr>
    </w:lvl>
    <w:lvl w:ilvl="7" w:tplc="53E01302" w:tentative="1">
      <w:start w:val="1"/>
      <w:numFmt w:val="lowerLetter"/>
      <w:lvlText w:val="%8."/>
      <w:lvlJc w:val="left"/>
      <w:pPr>
        <w:ind w:left="5684" w:hanging="360"/>
      </w:pPr>
    </w:lvl>
    <w:lvl w:ilvl="8" w:tplc="9B08180C" w:tentative="1">
      <w:start w:val="1"/>
      <w:numFmt w:val="lowerRoman"/>
      <w:lvlText w:val="%9."/>
      <w:lvlJc w:val="right"/>
      <w:pPr>
        <w:ind w:left="6404" w:hanging="180"/>
      </w:pPr>
    </w:lvl>
  </w:abstractNum>
  <w:abstractNum w:abstractNumId="26"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52553C"/>
    <w:multiLevelType w:val="hybridMultilevel"/>
    <w:tmpl w:val="3F2E38BE"/>
    <w:lvl w:ilvl="0" w:tplc="5A2E2FBA">
      <w:start w:val="1"/>
      <w:numFmt w:val="upperLetter"/>
      <w:lvlText w:val="%1."/>
      <w:lvlJc w:val="left"/>
      <w:pPr>
        <w:ind w:left="720" w:hanging="360"/>
      </w:pPr>
      <w:rPr>
        <w:rFonts w:hint="default"/>
      </w:rPr>
    </w:lvl>
    <w:lvl w:ilvl="1" w:tplc="752A70DA" w:tentative="1">
      <w:start w:val="1"/>
      <w:numFmt w:val="lowerLetter"/>
      <w:lvlText w:val="%2."/>
      <w:lvlJc w:val="left"/>
      <w:pPr>
        <w:ind w:left="1440" w:hanging="360"/>
      </w:pPr>
    </w:lvl>
    <w:lvl w:ilvl="2" w:tplc="FD3C946A" w:tentative="1">
      <w:start w:val="1"/>
      <w:numFmt w:val="lowerRoman"/>
      <w:lvlText w:val="%3."/>
      <w:lvlJc w:val="right"/>
      <w:pPr>
        <w:ind w:left="2160" w:hanging="180"/>
      </w:pPr>
    </w:lvl>
    <w:lvl w:ilvl="3" w:tplc="1BBEBAD2" w:tentative="1">
      <w:start w:val="1"/>
      <w:numFmt w:val="decimal"/>
      <w:lvlText w:val="%4."/>
      <w:lvlJc w:val="left"/>
      <w:pPr>
        <w:ind w:left="2880" w:hanging="360"/>
      </w:pPr>
    </w:lvl>
    <w:lvl w:ilvl="4" w:tplc="B1DE3542" w:tentative="1">
      <w:start w:val="1"/>
      <w:numFmt w:val="lowerLetter"/>
      <w:lvlText w:val="%5."/>
      <w:lvlJc w:val="left"/>
      <w:pPr>
        <w:ind w:left="3600" w:hanging="360"/>
      </w:pPr>
    </w:lvl>
    <w:lvl w:ilvl="5" w:tplc="99C8278E" w:tentative="1">
      <w:start w:val="1"/>
      <w:numFmt w:val="lowerRoman"/>
      <w:lvlText w:val="%6."/>
      <w:lvlJc w:val="right"/>
      <w:pPr>
        <w:ind w:left="4320" w:hanging="180"/>
      </w:pPr>
    </w:lvl>
    <w:lvl w:ilvl="6" w:tplc="F7A8724E" w:tentative="1">
      <w:start w:val="1"/>
      <w:numFmt w:val="decimal"/>
      <w:lvlText w:val="%7."/>
      <w:lvlJc w:val="left"/>
      <w:pPr>
        <w:ind w:left="5040" w:hanging="360"/>
      </w:pPr>
    </w:lvl>
    <w:lvl w:ilvl="7" w:tplc="7F229CB4" w:tentative="1">
      <w:start w:val="1"/>
      <w:numFmt w:val="lowerLetter"/>
      <w:lvlText w:val="%8."/>
      <w:lvlJc w:val="left"/>
      <w:pPr>
        <w:ind w:left="5760" w:hanging="360"/>
      </w:pPr>
    </w:lvl>
    <w:lvl w:ilvl="8" w:tplc="4446A2A6" w:tentative="1">
      <w:start w:val="1"/>
      <w:numFmt w:val="lowerRoman"/>
      <w:lvlText w:val="%9."/>
      <w:lvlJc w:val="right"/>
      <w:pPr>
        <w:ind w:left="6480" w:hanging="180"/>
      </w:pPr>
    </w:lvl>
  </w:abstractNum>
  <w:abstractNum w:abstractNumId="28" w15:restartNumberingAfterBreak="0">
    <w:nsid w:val="5F050244"/>
    <w:multiLevelType w:val="hybridMultilevel"/>
    <w:tmpl w:val="384C1A70"/>
    <w:lvl w:ilvl="0" w:tplc="F586DB78">
      <w:start w:val="1"/>
      <w:numFmt w:val="decimal"/>
      <w:lvlText w:val="%1."/>
      <w:lvlJc w:val="left"/>
      <w:pPr>
        <w:ind w:left="2160" w:hanging="360"/>
      </w:pPr>
    </w:lvl>
    <w:lvl w:ilvl="1" w:tplc="41F4A304" w:tentative="1">
      <w:start w:val="1"/>
      <w:numFmt w:val="lowerLetter"/>
      <w:lvlText w:val="%2."/>
      <w:lvlJc w:val="left"/>
      <w:pPr>
        <w:ind w:left="2880" w:hanging="360"/>
      </w:pPr>
    </w:lvl>
    <w:lvl w:ilvl="2" w:tplc="5ABA0B6E" w:tentative="1">
      <w:start w:val="1"/>
      <w:numFmt w:val="lowerRoman"/>
      <w:lvlText w:val="%3."/>
      <w:lvlJc w:val="right"/>
      <w:pPr>
        <w:ind w:left="3600" w:hanging="180"/>
      </w:pPr>
    </w:lvl>
    <w:lvl w:ilvl="3" w:tplc="F180599E" w:tentative="1">
      <w:start w:val="1"/>
      <w:numFmt w:val="decimal"/>
      <w:lvlText w:val="%4."/>
      <w:lvlJc w:val="left"/>
      <w:pPr>
        <w:ind w:left="4320" w:hanging="360"/>
      </w:pPr>
    </w:lvl>
    <w:lvl w:ilvl="4" w:tplc="697C4544" w:tentative="1">
      <w:start w:val="1"/>
      <w:numFmt w:val="lowerLetter"/>
      <w:lvlText w:val="%5."/>
      <w:lvlJc w:val="left"/>
      <w:pPr>
        <w:ind w:left="5040" w:hanging="360"/>
      </w:pPr>
    </w:lvl>
    <w:lvl w:ilvl="5" w:tplc="AE128238" w:tentative="1">
      <w:start w:val="1"/>
      <w:numFmt w:val="lowerRoman"/>
      <w:lvlText w:val="%6."/>
      <w:lvlJc w:val="right"/>
      <w:pPr>
        <w:ind w:left="5760" w:hanging="180"/>
      </w:pPr>
    </w:lvl>
    <w:lvl w:ilvl="6" w:tplc="3CB8E9C6" w:tentative="1">
      <w:start w:val="1"/>
      <w:numFmt w:val="decimal"/>
      <w:lvlText w:val="%7."/>
      <w:lvlJc w:val="left"/>
      <w:pPr>
        <w:ind w:left="6480" w:hanging="360"/>
      </w:pPr>
    </w:lvl>
    <w:lvl w:ilvl="7" w:tplc="EE363B5C" w:tentative="1">
      <w:start w:val="1"/>
      <w:numFmt w:val="lowerLetter"/>
      <w:lvlText w:val="%8."/>
      <w:lvlJc w:val="left"/>
      <w:pPr>
        <w:ind w:left="7200" w:hanging="360"/>
      </w:pPr>
    </w:lvl>
    <w:lvl w:ilvl="8" w:tplc="B786055A" w:tentative="1">
      <w:start w:val="1"/>
      <w:numFmt w:val="lowerRoman"/>
      <w:lvlText w:val="%9."/>
      <w:lvlJc w:val="right"/>
      <w:pPr>
        <w:ind w:left="7920" w:hanging="180"/>
      </w:pPr>
    </w:lvl>
  </w:abstractNum>
  <w:abstractNum w:abstractNumId="29" w15:restartNumberingAfterBreak="0">
    <w:nsid w:val="5F2E25BD"/>
    <w:multiLevelType w:val="hybridMultilevel"/>
    <w:tmpl w:val="72080F1C"/>
    <w:lvl w:ilvl="0" w:tplc="5A5874B6">
      <w:start w:val="1"/>
      <w:numFmt w:val="lowerLetter"/>
      <w:lvlText w:val="%1."/>
      <w:lvlJc w:val="left"/>
      <w:pPr>
        <w:ind w:left="644" w:hanging="360"/>
      </w:pPr>
      <w:rPr>
        <w:rFonts w:hint="default"/>
      </w:rPr>
    </w:lvl>
    <w:lvl w:ilvl="1" w:tplc="FDC880E4" w:tentative="1">
      <w:start w:val="1"/>
      <w:numFmt w:val="lowerLetter"/>
      <w:lvlText w:val="%2."/>
      <w:lvlJc w:val="left"/>
      <w:pPr>
        <w:ind w:left="1364" w:hanging="360"/>
      </w:pPr>
    </w:lvl>
    <w:lvl w:ilvl="2" w:tplc="358A4AE2" w:tentative="1">
      <w:start w:val="1"/>
      <w:numFmt w:val="lowerRoman"/>
      <w:lvlText w:val="%3."/>
      <w:lvlJc w:val="right"/>
      <w:pPr>
        <w:ind w:left="2084" w:hanging="180"/>
      </w:pPr>
    </w:lvl>
    <w:lvl w:ilvl="3" w:tplc="5512F278" w:tentative="1">
      <w:start w:val="1"/>
      <w:numFmt w:val="decimal"/>
      <w:lvlText w:val="%4."/>
      <w:lvlJc w:val="left"/>
      <w:pPr>
        <w:ind w:left="2804" w:hanging="360"/>
      </w:pPr>
    </w:lvl>
    <w:lvl w:ilvl="4" w:tplc="9CD2A986" w:tentative="1">
      <w:start w:val="1"/>
      <w:numFmt w:val="lowerLetter"/>
      <w:lvlText w:val="%5."/>
      <w:lvlJc w:val="left"/>
      <w:pPr>
        <w:ind w:left="3524" w:hanging="360"/>
      </w:pPr>
    </w:lvl>
    <w:lvl w:ilvl="5" w:tplc="02D272FE" w:tentative="1">
      <w:start w:val="1"/>
      <w:numFmt w:val="lowerRoman"/>
      <w:lvlText w:val="%6."/>
      <w:lvlJc w:val="right"/>
      <w:pPr>
        <w:ind w:left="4244" w:hanging="180"/>
      </w:pPr>
    </w:lvl>
    <w:lvl w:ilvl="6" w:tplc="1B6689F6" w:tentative="1">
      <w:start w:val="1"/>
      <w:numFmt w:val="decimal"/>
      <w:lvlText w:val="%7."/>
      <w:lvlJc w:val="left"/>
      <w:pPr>
        <w:ind w:left="4964" w:hanging="360"/>
      </w:pPr>
    </w:lvl>
    <w:lvl w:ilvl="7" w:tplc="3A7859E0" w:tentative="1">
      <w:start w:val="1"/>
      <w:numFmt w:val="lowerLetter"/>
      <w:lvlText w:val="%8."/>
      <w:lvlJc w:val="left"/>
      <w:pPr>
        <w:ind w:left="5684" w:hanging="360"/>
      </w:pPr>
    </w:lvl>
    <w:lvl w:ilvl="8" w:tplc="54603A1A" w:tentative="1">
      <w:start w:val="1"/>
      <w:numFmt w:val="lowerRoman"/>
      <w:lvlText w:val="%9."/>
      <w:lvlJc w:val="right"/>
      <w:pPr>
        <w:ind w:left="6404" w:hanging="180"/>
      </w:pPr>
    </w:lvl>
  </w:abstractNum>
  <w:abstractNum w:abstractNumId="30"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8D27D48"/>
    <w:multiLevelType w:val="hybridMultilevel"/>
    <w:tmpl w:val="4F50484C"/>
    <w:lvl w:ilvl="0" w:tplc="0C72D93A">
      <w:start w:val="1"/>
      <w:numFmt w:val="decimal"/>
      <w:lvlText w:val="%1."/>
      <w:lvlJc w:val="left"/>
      <w:pPr>
        <w:ind w:left="786" w:hanging="360"/>
      </w:pPr>
      <w:rPr>
        <w:rFonts w:hint="default"/>
      </w:rPr>
    </w:lvl>
    <w:lvl w:ilvl="1" w:tplc="49360708" w:tentative="1">
      <w:start w:val="1"/>
      <w:numFmt w:val="lowerLetter"/>
      <w:lvlText w:val="%2."/>
      <w:lvlJc w:val="left"/>
      <w:pPr>
        <w:ind w:left="1506" w:hanging="360"/>
      </w:pPr>
    </w:lvl>
    <w:lvl w:ilvl="2" w:tplc="140C503C" w:tentative="1">
      <w:start w:val="1"/>
      <w:numFmt w:val="lowerRoman"/>
      <w:lvlText w:val="%3."/>
      <w:lvlJc w:val="right"/>
      <w:pPr>
        <w:ind w:left="2226" w:hanging="180"/>
      </w:pPr>
    </w:lvl>
    <w:lvl w:ilvl="3" w:tplc="A0CEAC0C" w:tentative="1">
      <w:start w:val="1"/>
      <w:numFmt w:val="decimal"/>
      <w:lvlText w:val="%4."/>
      <w:lvlJc w:val="left"/>
      <w:pPr>
        <w:ind w:left="2946" w:hanging="360"/>
      </w:pPr>
    </w:lvl>
    <w:lvl w:ilvl="4" w:tplc="E00CA6F6" w:tentative="1">
      <w:start w:val="1"/>
      <w:numFmt w:val="lowerLetter"/>
      <w:lvlText w:val="%5."/>
      <w:lvlJc w:val="left"/>
      <w:pPr>
        <w:ind w:left="3666" w:hanging="360"/>
      </w:pPr>
    </w:lvl>
    <w:lvl w:ilvl="5" w:tplc="C4604894" w:tentative="1">
      <w:start w:val="1"/>
      <w:numFmt w:val="lowerRoman"/>
      <w:lvlText w:val="%6."/>
      <w:lvlJc w:val="right"/>
      <w:pPr>
        <w:ind w:left="4386" w:hanging="180"/>
      </w:pPr>
    </w:lvl>
    <w:lvl w:ilvl="6" w:tplc="D72A2824" w:tentative="1">
      <w:start w:val="1"/>
      <w:numFmt w:val="decimal"/>
      <w:lvlText w:val="%7."/>
      <w:lvlJc w:val="left"/>
      <w:pPr>
        <w:ind w:left="5106" w:hanging="360"/>
      </w:pPr>
    </w:lvl>
    <w:lvl w:ilvl="7" w:tplc="3C260D8C" w:tentative="1">
      <w:start w:val="1"/>
      <w:numFmt w:val="lowerLetter"/>
      <w:lvlText w:val="%8."/>
      <w:lvlJc w:val="left"/>
      <w:pPr>
        <w:ind w:left="5826" w:hanging="360"/>
      </w:pPr>
    </w:lvl>
    <w:lvl w:ilvl="8" w:tplc="28824D50" w:tentative="1">
      <w:start w:val="1"/>
      <w:numFmt w:val="lowerRoman"/>
      <w:lvlText w:val="%9."/>
      <w:lvlJc w:val="right"/>
      <w:pPr>
        <w:ind w:left="6546" w:hanging="180"/>
      </w:pPr>
    </w:lvl>
  </w:abstractNum>
  <w:abstractNum w:abstractNumId="32" w15:restartNumberingAfterBreak="0">
    <w:nsid w:val="6B6D05EA"/>
    <w:multiLevelType w:val="hybridMultilevel"/>
    <w:tmpl w:val="A5D455F4"/>
    <w:lvl w:ilvl="0" w:tplc="5E9C01B2">
      <w:start w:val="1"/>
      <w:numFmt w:val="decimal"/>
      <w:lvlText w:val="%1."/>
      <w:lvlJc w:val="left"/>
      <w:pPr>
        <w:ind w:left="502" w:hanging="360"/>
      </w:pPr>
      <w:rPr>
        <w:rFonts w:hint="default"/>
        <w:b w:val="0"/>
        <w:bCs/>
      </w:rPr>
    </w:lvl>
    <w:lvl w:ilvl="1" w:tplc="5BD2DA3C" w:tentative="1">
      <w:start w:val="1"/>
      <w:numFmt w:val="lowerLetter"/>
      <w:lvlText w:val="%2."/>
      <w:lvlJc w:val="left"/>
      <w:pPr>
        <w:ind w:left="1222" w:hanging="360"/>
      </w:pPr>
    </w:lvl>
    <w:lvl w:ilvl="2" w:tplc="BF40886C" w:tentative="1">
      <w:start w:val="1"/>
      <w:numFmt w:val="lowerRoman"/>
      <w:lvlText w:val="%3."/>
      <w:lvlJc w:val="right"/>
      <w:pPr>
        <w:ind w:left="1942" w:hanging="180"/>
      </w:pPr>
    </w:lvl>
    <w:lvl w:ilvl="3" w:tplc="05D041CA" w:tentative="1">
      <w:start w:val="1"/>
      <w:numFmt w:val="decimal"/>
      <w:lvlText w:val="%4."/>
      <w:lvlJc w:val="left"/>
      <w:pPr>
        <w:ind w:left="2662" w:hanging="360"/>
      </w:pPr>
    </w:lvl>
    <w:lvl w:ilvl="4" w:tplc="4C746766" w:tentative="1">
      <w:start w:val="1"/>
      <w:numFmt w:val="lowerLetter"/>
      <w:lvlText w:val="%5."/>
      <w:lvlJc w:val="left"/>
      <w:pPr>
        <w:ind w:left="3382" w:hanging="360"/>
      </w:pPr>
    </w:lvl>
    <w:lvl w:ilvl="5" w:tplc="18A61180" w:tentative="1">
      <w:start w:val="1"/>
      <w:numFmt w:val="lowerRoman"/>
      <w:lvlText w:val="%6."/>
      <w:lvlJc w:val="right"/>
      <w:pPr>
        <w:ind w:left="4102" w:hanging="180"/>
      </w:pPr>
    </w:lvl>
    <w:lvl w:ilvl="6" w:tplc="DAE4DEFA" w:tentative="1">
      <w:start w:val="1"/>
      <w:numFmt w:val="decimal"/>
      <w:lvlText w:val="%7."/>
      <w:lvlJc w:val="left"/>
      <w:pPr>
        <w:ind w:left="4822" w:hanging="360"/>
      </w:pPr>
    </w:lvl>
    <w:lvl w:ilvl="7" w:tplc="B9B85160" w:tentative="1">
      <w:start w:val="1"/>
      <w:numFmt w:val="lowerLetter"/>
      <w:lvlText w:val="%8."/>
      <w:lvlJc w:val="left"/>
      <w:pPr>
        <w:ind w:left="5542" w:hanging="360"/>
      </w:pPr>
    </w:lvl>
    <w:lvl w:ilvl="8" w:tplc="333CEFE2" w:tentative="1">
      <w:start w:val="1"/>
      <w:numFmt w:val="lowerRoman"/>
      <w:lvlText w:val="%9."/>
      <w:lvlJc w:val="right"/>
      <w:pPr>
        <w:ind w:left="6262" w:hanging="180"/>
      </w:pPr>
    </w:lvl>
  </w:abstractNum>
  <w:abstractNum w:abstractNumId="33" w15:restartNumberingAfterBreak="0">
    <w:nsid w:val="6C23508F"/>
    <w:multiLevelType w:val="hybridMultilevel"/>
    <w:tmpl w:val="4AA645EE"/>
    <w:lvl w:ilvl="0" w:tplc="F0E41484">
      <w:start w:val="1"/>
      <w:numFmt w:val="decimal"/>
      <w:lvlText w:val="%1."/>
      <w:lvlJc w:val="left"/>
      <w:pPr>
        <w:ind w:left="1080" w:hanging="360"/>
      </w:pPr>
      <w:rPr>
        <w:rFonts w:hint="default"/>
      </w:rPr>
    </w:lvl>
    <w:lvl w:ilvl="1" w:tplc="87764554">
      <w:start w:val="1"/>
      <w:numFmt w:val="lowerLetter"/>
      <w:lvlText w:val="%2."/>
      <w:lvlJc w:val="left"/>
      <w:pPr>
        <w:ind w:left="1800" w:hanging="360"/>
      </w:pPr>
    </w:lvl>
    <w:lvl w:ilvl="2" w:tplc="00286D18" w:tentative="1">
      <w:start w:val="1"/>
      <w:numFmt w:val="lowerRoman"/>
      <w:lvlText w:val="%3."/>
      <w:lvlJc w:val="right"/>
      <w:pPr>
        <w:ind w:left="2520" w:hanging="180"/>
      </w:pPr>
    </w:lvl>
    <w:lvl w:ilvl="3" w:tplc="B2086394" w:tentative="1">
      <w:start w:val="1"/>
      <w:numFmt w:val="decimal"/>
      <w:lvlText w:val="%4."/>
      <w:lvlJc w:val="left"/>
      <w:pPr>
        <w:ind w:left="3240" w:hanging="360"/>
      </w:pPr>
    </w:lvl>
    <w:lvl w:ilvl="4" w:tplc="8ABE2ECE" w:tentative="1">
      <w:start w:val="1"/>
      <w:numFmt w:val="lowerLetter"/>
      <w:lvlText w:val="%5."/>
      <w:lvlJc w:val="left"/>
      <w:pPr>
        <w:ind w:left="3960" w:hanging="360"/>
      </w:pPr>
    </w:lvl>
    <w:lvl w:ilvl="5" w:tplc="F96EAFC6" w:tentative="1">
      <w:start w:val="1"/>
      <w:numFmt w:val="lowerRoman"/>
      <w:lvlText w:val="%6."/>
      <w:lvlJc w:val="right"/>
      <w:pPr>
        <w:ind w:left="4680" w:hanging="180"/>
      </w:pPr>
    </w:lvl>
    <w:lvl w:ilvl="6" w:tplc="B940631A" w:tentative="1">
      <w:start w:val="1"/>
      <w:numFmt w:val="decimal"/>
      <w:lvlText w:val="%7."/>
      <w:lvlJc w:val="left"/>
      <w:pPr>
        <w:ind w:left="5400" w:hanging="360"/>
      </w:pPr>
    </w:lvl>
    <w:lvl w:ilvl="7" w:tplc="3C60B720" w:tentative="1">
      <w:start w:val="1"/>
      <w:numFmt w:val="lowerLetter"/>
      <w:lvlText w:val="%8."/>
      <w:lvlJc w:val="left"/>
      <w:pPr>
        <w:ind w:left="6120" w:hanging="360"/>
      </w:pPr>
    </w:lvl>
    <w:lvl w:ilvl="8" w:tplc="CC321232" w:tentative="1">
      <w:start w:val="1"/>
      <w:numFmt w:val="lowerRoman"/>
      <w:lvlText w:val="%9."/>
      <w:lvlJc w:val="right"/>
      <w:pPr>
        <w:ind w:left="6840" w:hanging="180"/>
      </w:pPr>
    </w:lvl>
  </w:abstractNum>
  <w:abstractNum w:abstractNumId="34"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F84140"/>
    <w:multiLevelType w:val="hybridMultilevel"/>
    <w:tmpl w:val="3D6CBFB8"/>
    <w:lvl w:ilvl="0" w:tplc="BE9CF66E">
      <w:start w:val="1"/>
      <w:numFmt w:val="decimal"/>
      <w:lvlText w:val="%1."/>
      <w:lvlJc w:val="left"/>
      <w:pPr>
        <w:ind w:left="720" w:hanging="360"/>
      </w:pPr>
      <w:rPr>
        <w:rFonts w:hint="default"/>
      </w:rPr>
    </w:lvl>
    <w:lvl w:ilvl="1" w:tplc="77C400D8" w:tentative="1">
      <w:start w:val="1"/>
      <w:numFmt w:val="lowerLetter"/>
      <w:lvlText w:val="%2."/>
      <w:lvlJc w:val="left"/>
      <w:pPr>
        <w:ind w:left="1440" w:hanging="360"/>
      </w:pPr>
    </w:lvl>
    <w:lvl w:ilvl="2" w:tplc="C7269BB4" w:tentative="1">
      <w:start w:val="1"/>
      <w:numFmt w:val="lowerRoman"/>
      <w:lvlText w:val="%3."/>
      <w:lvlJc w:val="right"/>
      <w:pPr>
        <w:ind w:left="2160" w:hanging="180"/>
      </w:pPr>
    </w:lvl>
    <w:lvl w:ilvl="3" w:tplc="E132CC40" w:tentative="1">
      <w:start w:val="1"/>
      <w:numFmt w:val="decimal"/>
      <w:lvlText w:val="%4."/>
      <w:lvlJc w:val="left"/>
      <w:pPr>
        <w:ind w:left="2880" w:hanging="360"/>
      </w:pPr>
    </w:lvl>
    <w:lvl w:ilvl="4" w:tplc="3D101E26" w:tentative="1">
      <w:start w:val="1"/>
      <w:numFmt w:val="lowerLetter"/>
      <w:lvlText w:val="%5."/>
      <w:lvlJc w:val="left"/>
      <w:pPr>
        <w:ind w:left="3600" w:hanging="360"/>
      </w:pPr>
    </w:lvl>
    <w:lvl w:ilvl="5" w:tplc="1FA8D2A6" w:tentative="1">
      <w:start w:val="1"/>
      <w:numFmt w:val="lowerRoman"/>
      <w:lvlText w:val="%6."/>
      <w:lvlJc w:val="right"/>
      <w:pPr>
        <w:ind w:left="4320" w:hanging="180"/>
      </w:pPr>
    </w:lvl>
    <w:lvl w:ilvl="6" w:tplc="B0AE8302" w:tentative="1">
      <w:start w:val="1"/>
      <w:numFmt w:val="decimal"/>
      <w:lvlText w:val="%7."/>
      <w:lvlJc w:val="left"/>
      <w:pPr>
        <w:ind w:left="5040" w:hanging="360"/>
      </w:pPr>
    </w:lvl>
    <w:lvl w:ilvl="7" w:tplc="81A28720" w:tentative="1">
      <w:start w:val="1"/>
      <w:numFmt w:val="lowerLetter"/>
      <w:lvlText w:val="%8."/>
      <w:lvlJc w:val="left"/>
      <w:pPr>
        <w:ind w:left="5760" w:hanging="360"/>
      </w:pPr>
    </w:lvl>
    <w:lvl w:ilvl="8" w:tplc="5D0AA344" w:tentative="1">
      <w:start w:val="1"/>
      <w:numFmt w:val="lowerRoman"/>
      <w:lvlText w:val="%9."/>
      <w:lvlJc w:val="right"/>
      <w:pPr>
        <w:ind w:left="6480" w:hanging="180"/>
      </w:pPr>
    </w:lvl>
  </w:abstractNum>
  <w:abstractNum w:abstractNumId="37" w15:restartNumberingAfterBreak="0">
    <w:nsid w:val="70E54893"/>
    <w:multiLevelType w:val="hybridMultilevel"/>
    <w:tmpl w:val="E568494A"/>
    <w:lvl w:ilvl="0" w:tplc="80282506">
      <w:start w:val="1"/>
      <w:numFmt w:val="decimal"/>
      <w:lvlText w:val="%1)"/>
      <w:lvlJc w:val="left"/>
      <w:pPr>
        <w:ind w:left="720" w:hanging="360"/>
      </w:pPr>
      <w:rPr>
        <w:rFonts w:hint="default"/>
        <w:b w:val="0"/>
      </w:rPr>
    </w:lvl>
    <w:lvl w:ilvl="1" w:tplc="BA1EBEB6" w:tentative="1">
      <w:start w:val="1"/>
      <w:numFmt w:val="lowerLetter"/>
      <w:lvlText w:val="%2."/>
      <w:lvlJc w:val="left"/>
      <w:pPr>
        <w:ind w:left="1440" w:hanging="360"/>
      </w:pPr>
    </w:lvl>
    <w:lvl w:ilvl="2" w:tplc="03505640" w:tentative="1">
      <w:start w:val="1"/>
      <w:numFmt w:val="lowerRoman"/>
      <w:lvlText w:val="%3."/>
      <w:lvlJc w:val="right"/>
      <w:pPr>
        <w:ind w:left="2160" w:hanging="180"/>
      </w:pPr>
    </w:lvl>
    <w:lvl w:ilvl="3" w:tplc="57A2372E" w:tentative="1">
      <w:start w:val="1"/>
      <w:numFmt w:val="decimal"/>
      <w:lvlText w:val="%4."/>
      <w:lvlJc w:val="left"/>
      <w:pPr>
        <w:ind w:left="2880" w:hanging="360"/>
      </w:pPr>
    </w:lvl>
    <w:lvl w:ilvl="4" w:tplc="693455A4" w:tentative="1">
      <w:start w:val="1"/>
      <w:numFmt w:val="lowerLetter"/>
      <w:lvlText w:val="%5."/>
      <w:lvlJc w:val="left"/>
      <w:pPr>
        <w:ind w:left="3600" w:hanging="360"/>
      </w:pPr>
    </w:lvl>
    <w:lvl w:ilvl="5" w:tplc="EA4E4A24" w:tentative="1">
      <w:start w:val="1"/>
      <w:numFmt w:val="lowerRoman"/>
      <w:lvlText w:val="%6."/>
      <w:lvlJc w:val="right"/>
      <w:pPr>
        <w:ind w:left="4320" w:hanging="180"/>
      </w:pPr>
    </w:lvl>
    <w:lvl w:ilvl="6" w:tplc="B4885C00" w:tentative="1">
      <w:start w:val="1"/>
      <w:numFmt w:val="decimal"/>
      <w:lvlText w:val="%7."/>
      <w:lvlJc w:val="left"/>
      <w:pPr>
        <w:ind w:left="5040" w:hanging="360"/>
      </w:pPr>
    </w:lvl>
    <w:lvl w:ilvl="7" w:tplc="032C2162" w:tentative="1">
      <w:start w:val="1"/>
      <w:numFmt w:val="lowerLetter"/>
      <w:lvlText w:val="%8."/>
      <w:lvlJc w:val="left"/>
      <w:pPr>
        <w:ind w:left="5760" w:hanging="360"/>
      </w:pPr>
    </w:lvl>
    <w:lvl w:ilvl="8" w:tplc="308A7AFA" w:tentative="1">
      <w:start w:val="1"/>
      <w:numFmt w:val="lowerRoman"/>
      <w:lvlText w:val="%9."/>
      <w:lvlJc w:val="right"/>
      <w:pPr>
        <w:ind w:left="6480" w:hanging="180"/>
      </w:pPr>
    </w:lvl>
  </w:abstractNum>
  <w:abstractNum w:abstractNumId="38" w15:restartNumberingAfterBreak="0">
    <w:nsid w:val="791F7AEE"/>
    <w:multiLevelType w:val="hybridMultilevel"/>
    <w:tmpl w:val="B804E9D4"/>
    <w:lvl w:ilvl="0" w:tplc="57C83024">
      <w:start w:val="1"/>
      <w:numFmt w:val="decimal"/>
      <w:lvlText w:val="%1."/>
      <w:lvlJc w:val="left"/>
      <w:pPr>
        <w:ind w:left="1080" w:hanging="720"/>
      </w:pPr>
      <w:rPr>
        <w:rFonts w:hint="default"/>
      </w:rPr>
    </w:lvl>
    <w:lvl w:ilvl="1" w:tplc="5868FA1C" w:tentative="1">
      <w:start w:val="1"/>
      <w:numFmt w:val="lowerLetter"/>
      <w:lvlText w:val="%2."/>
      <w:lvlJc w:val="left"/>
      <w:pPr>
        <w:ind w:left="1440" w:hanging="360"/>
      </w:pPr>
    </w:lvl>
    <w:lvl w:ilvl="2" w:tplc="B180284C" w:tentative="1">
      <w:start w:val="1"/>
      <w:numFmt w:val="lowerRoman"/>
      <w:lvlText w:val="%3."/>
      <w:lvlJc w:val="right"/>
      <w:pPr>
        <w:ind w:left="2160" w:hanging="180"/>
      </w:pPr>
    </w:lvl>
    <w:lvl w:ilvl="3" w:tplc="6700C804" w:tentative="1">
      <w:start w:val="1"/>
      <w:numFmt w:val="decimal"/>
      <w:lvlText w:val="%4."/>
      <w:lvlJc w:val="left"/>
      <w:pPr>
        <w:ind w:left="2880" w:hanging="360"/>
      </w:pPr>
    </w:lvl>
    <w:lvl w:ilvl="4" w:tplc="C50841E8" w:tentative="1">
      <w:start w:val="1"/>
      <w:numFmt w:val="lowerLetter"/>
      <w:lvlText w:val="%5."/>
      <w:lvlJc w:val="left"/>
      <w:pPr>
        <w:ind w:left="3600" w:hanging="360"/>
      </w:pPr>
    </w:lvl>
    <w:lvl w:ilvl="5" w:tplc="F1829E42" w:tentative="1">
      <w:start w:val="1"/>
      <w:numFmt w:val="lowerRoman"/>
      <w:lvlText w:val="%6."/>
      <w:lvlJc w:val="right"/>
      <w:pPr>
        <w:ind w:left="4320" w:hanging="180"/>
      </w:pPr>
    </w:lvl>
    <w:lvl w:ilvl="6" w:tplc="CCA0A408" w:tentative="1">
      <w:start w:val="1"/>
      <w:numFmt w:val="decimal"/>
      <w:lvlText w:val="%7."/>
      <w:lvlJc w:val="left"/>
      <w:pPr>
        <w:ind w:left="5040" w:hanging="360"/>
      </w:pPr>
    </w:lvl>
    <w:lvl w:ilvl="7" w:tplc="76A2BDF2" w:tentative="1">
      <w:start w:val="1"/>
      <w:numFmt w:val="lowerLetter"/>
      <w:lvlText w:val="%8."/>
      <w:lvlJc w:val="left"/>
      <w:pPr>
        <w:ind w:left="5760" w:hanging="360"/>
      </w:pPr>
    </w:lvl>
    <w:lvl w:ilvl="8" w:tplc="76B22218" w:tentative="1">
      <w:start w:val="1"/>
      <w:numFmt w:val="lowerRoman"/>
      <w:lvlText w:val="%9."/>
      <w:lvlJc w:val="right"/>
      <w:pPr>
        <w:ind w:left="6480" w:hanging="180"/>
      </w:pPr>
    </w:lvl>
  </w:abstractNum>
  <w:abstractNum w:abstractNumId="39" w15:restartNumberingAfterBreak="0">
    <w:nsid w:val="7F8D0BE6"/>
    <w:multiLevelType w:val="hybridMultilevel"/>
    <w:tmpl w:val="BCEC2186"/>
    <w:lvl w:ilvl="0" w:tplc="9A2ABB1A">
      <w:start w:val="1"/>
      <w:numFmt w:val="lowerLetter"/>
      <w:lvlText w:val="%1."/>
      <w:lvlJc w:val="left"/>
      <w:pPr>
        <w:ind w:left="720" w:hanging="360"/>
      </w:pPr>
      <w:rPr>
        <w:rFonts w:hint="default"/>
      </w:rPr>
    </w:lvl>
    <w:lvl w:ilvl="1" w:tplc="7E8C2BC4" w:tentative="1">
      <w:start w:val="1"/>
      <w:numFmt w:val="lowerLetter"/>
      <w:lvlText w:val="%2."/>
      <w:lvlJc w:val="left"/>
      <w:pPr>
        <w:ind w:left="1440" w:hanging="360"/>
      </w:pPr>
    </w:lvl>
    <w:lvl w:ilvl="2" w:tplc="7ED41BF4" w:tentative="1">
      <w:start w:val="1"/>
      <w:numFmt w:val="lowerRoman"/>
      <w:lvlText w:val="%3."/>
      <w:lvlJc w:val="right"/>
      <w:pPr>
        <w:ind w:left="2160" w:hanging="180"/>
      </w:pPr>
    </w:lvl>
    <w:lvl w:ilvl="3" w:tplc="A32C5E50" w:tentative="1">
      <w:start w:val="1"/>
      <w:numFmt w:val="decimal"/>
      <w:lvlText w:val="%4."/>
      <w:lvlJc w:val="left"/>
      <w:pPr>
        <w:ind w:left="2880" w:hanging="360"/>
      </w:pPr>
    </w:lvl>
    <w:lvl w:ilvl="4" w:tplc="B8A41E26" w:tentative="1">
      <w:start w:val="1"/>
      <w:numFmt w:val="lowerLetter"/>
      <w:lvlText w:val="%5."/>
      <w:lvlJc w:val="left"/>
      <w:pPr>
        <w:ind w:left="3600" w:hanging="360"/>
      </w:pPr>
    </w:lvl>
    <w:lvl w:ilvl="5" w:tplc="0B365A40" w:tentative="1">
      <w:start w:val="1"/>
      <w:numFmt w:val="lowerRoman"/>
      <w:lvlText w:val="%6."/>
      <w:lvlJc w:val="right"/>
      <w:pPr>
        <w:ind w:left="4320" w:hanging="180"/>
      </w:pPr>
    </w:lvl>
    <w:lvl w:ilvl="6" w:tplc="A96656B2" w:tentative="1">
      <w:start w:val="1"/>
      <w:numFmt w:val="decimal"/>
      <w:lvlText w:val="%7."/>
      <w:lvlJc w:val="left"/>
      <w:pPr>
        <w:ind w:left="5040" w:hanging="360"/>
      </w:pPr>
    </w:lvl>
    <w:lvl w:ilvl="7" w:tplc="4F223B2C" w:tentative="1">
      <w:start w:val="1"/>
      <w:numFmt w:val="lowerLetter"/>
      <w:lvlText w:val="%8."/>
      <w:lvlJc w:val="left"/>
      <w:pPr>
        <w:ind w:left="5760" w:hanging="360"/>
      </w:pPr>
    </w:lvl>
    <w:lvl w:ilvl="8" w:tplc="95DC85AC" w:tentative="1">
      <w:start w:val="1"/>
      <w:numFmt w:val="lowerRoman"/>
      <w:lvlText w:val="%9."/>
      <w:lvlJc w:val="right"/>
      <w:pPr>
        <w:ind w:left="6480" w:hanging="180"/>
      </w:pPr>
    </w:lvl>
  </w:abstractNum>
  <w:num w:numId="1" w16cid:durableId="1672248170">
    <w:abstractNumId w:val="13"/>
  </w:num>
  <w:num w:numId="2" w16cid:durableId="200948372">
    <w:abstractNumId w:val="38"/>
  </w:num>
  <w:num w:numId="3" w16cid:durableId="100419122">
    <w:abstractNumId w:val="14"/>
  </w:num>
  <w:num w:numId="4" w16cid:durableId="252712513">
    <w:abstractNumId w:val="17"/>
  </w:num>
  <w:num w:numId="5" w16cid:durableId="897087817">
    <w:abstractNumId w:val="27"/>
  </w:num>
  <w:num w:numId="6" w16cid:durableId="1501047667">
    <w:abstractNumId w:val="8"/>
  </w:num>
  <w:num w:numId="7" w16cid:durableId="78256649">
    <w:abstractNumId w:val="16"/>
  </w:num>
  <w:num w:numId="8" w16cid:durableId="1928466742">
    <w:abstractNumId w:val="37"/>
  </w:num>
  <w:num w:numId="9" w16cid:durableId="1120026333">
    <w:abstractNumId w:val="15"/>
  </w:num>
  <w:num w:numId="10" w16cid:durableId="1644387013">
    <w:abstractNumId w:val="20"/>
  </w:num>
  <w:num w:numId="11" w16cid:durableId="356081888">
    <w:abstractNumId w:val="21"/>
  </w:num>
  <w:num w:numId="12" w16cid:durableId="1186401943">
    <w:abstractNumId w:val="39"/>
  </w:num>
  <w:num w:numId="13" w16cid:durableId="1059402722">
    <w:abstractNumId w:val="28"/>
  </w:num>
  <w:num w:numId="14" w16cid:durableId="943733686">
    <w:abstractNumId w:val="2"/>
  </w:num>
  <w:num w:numId="15" w16cid:durableId="1155730101">
    <w:abstractNumId w:val="26"/>
  </w:num>
  <w:num w:numId="16" w16cid:durableId="1044528186">
    <w:abstractNumId w:val="33"/>
  </w:num>
  <w:num w:numId="17" w16cid:durableId="969238738">
    <w:abstractNumId w:val="35"/>
  </w:num>
  <w:num w:numId="18" w16cid:durableId="966551051">
    <w:abstractNumId w:val="12"/>
  </w:num>
  <w:num w:numId="19" w16cid:durableId="799343985">
    <w:abstractNumId w:val="10"/>
  </w:num>
  <w:num w:numId="20" w16cid:durableId="1968120352">
    <w:abstractNumId w:val="9"/>
  </w:num>
  <w:num w:numId="21" w16cid:durableId="1873684875">
    <w:abstractNumId w:val="30"/>
  </w:num>
  <w:num w:numId="22" w16cid:durableId="1462767870">
    <w:abstractNumId w:val="34"/>
  </w:num>
  <w:num w:numId="23" w16cid:durableId="1069113991">
    <w:abstractNumId w:val="11"/>
  </w:num>
  <w:num w:numId="24" w16cid:durableId="927271378">
    <w:abstractNumId w:val="18"/>
  </w:num>
  <w:num w:numId="25" w16cid:durableId="1730182960">
    <w:abstractNumId w:val="31"/>
  </w:num>
  <w:num w:numId="26" w16cid:durableId="398596158">
    <w:abstractNumId w:val="6"/>
  </w:num>
  <w:num w:numId="27" w16cid:durableId="1020546824">
    <w:abstractNumId w:val="25"/>
  </w:num>
  <w:num w:numId="28" w16cid:durableId="708142241">
    <w:abstractNumId w:val="0"/>
  </w:num>
  <w:num w:numId="29" w16cid:durableId="1221289900">
    <w:abstractNumId w:val="29"/>
  </w:num>
  <w:num w:numId="30" w16cid:durableId="463355778">
    <w:abstractNumId w:val="5"/>
  </w:num>
  <w:num w:numId="31" w16cid:durableId="1824391913">
    <w:abstractNumId w:val="3"/>
  </w:num>
  <w:num w:numId="32" w16cid:durableId="1853106382">
    <w:abstractNumId w:val="36"/>
  </w:num>
  <w:num w:numId="33" w16cid:durableId="71589258">
    <w:abstractNumId w:val="32"/>
  </w:num>
  <w:num w:numId="34" w16cid:durableId="529075931">
    <w:abstractNumId w:val="24"/>
  </w:num>
  <w:num w:numId="35" w16cid:durableId="448939665">
    <w:abstractNumId w:val="4"/>
  </w:num>
  <w:num w:numId="36" w16cid:durableId="741832913">
    <w:abstractNumId w:val="1"/>
  </w:num>
  <w:num w:numId="37" w16cid:durableId="1670786623">
    <w:abstractNumId w:val="7"/>
  </w:num>
  <w:num w:numId="38" w16cid:durableId="643122017">
    <w:abstractNumId w:val="19"/>
  </w:num>
  <w:num w:numId="39" w16cid:durableId="1901481063">
    <w:abstractNumId w:val="19"/>
  </w:num>
  <w:num w:numId="40" w16cid:durableId="401413060">
    <w:abstractNumId w:val="19"/>
  </w:num>
  <w:num w:numId="41" w16cid:durableId="766846629">
    <w:abstractNumId w:val="23"/>
  </w:num>
  <w:num w:numId="42" w16cid:durableId="6117407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994"/>
    <w:rsid w:val="00005F9E"/>
    <w:rsid w:val="000152E7"/>
    <w:rsid w:val="00015DEB"/>
    <w:rsid w:val="00031793"/>
    <w:rsid w:val="00033D11"/>
    <w:rsid w:val="00044D6B"/>
    <w:rsid w:val="00062C1B"/>
    <w:rsid w:val="00065260"/>
    <w:rsid w:val="000713FB"/>
    <w:rsid w:val="00071750"/>
    <w:rsid w:val="000730A8"/>
    <w:rsid w:val="00075F4D"/>
    <w:rsid w:val="00087F22"/>
    <w:rsid w:val="00096DBA"/>
    <w:rsid w:val="000B638B"/>
    <w:rsid w:val="000C3858"/>
    <w:rsid w:val="000C4D10"/>
    <w:rsid w:val="000D46D0"/>
    <w:rsid w:val="000D5860"/>
    <w:rsid w:val="000D73CB"/>
    <w:rsid w:val="000E1497"/>
    <w:rsid w:val="000E48BB"/>
    <w:rsid w:val="000E539F"/>
    <w:rsid w:val="000F6A98"/>
    <w:rsid w:val="0010045C"/>
    <w:rsid w:val="001111C6"/>
    <w:rsid w:val="001177EC"/>
    <w:rsid w:val="00121E44"/>
    <w:rsid w:val="00145913"/>
    <w:rsid w:val="00165C65"/>
    <w:rsid w:val="00173EDB"/>
    <w:rsid w:val="001750DA"/>
    <w:rsid w:val="00187B6B"/>
    <w:rsid w:val="00197788"/>
    <w:rsid w:val="001A2370"/>
    <w:rsid w:val="001C0D91"/>
    <w:rsid w:val="001C0E60"/>
    <w:rsid w:val="001C4AE0"/>
    <w:rsid w:val="001C62FF"/>
    <w:rsid w:val="001E3BC9"/>
    <w:rsid w:val="001E55A2"/>
    <w:rsid w:val="00200763"/>
    <w:rsid w:val="00210FF5"/>
    <w:rsid w:val="00223C23"/>
    <w:rsid w:val="00232843"/>
    <w:rsid w:val="002443C2"/>
    <w:rsid w:val="002448D8"/>
    <w:rsid w:val="002501CB"/>
    <w:rsid w:val="00267C8B"/>
    <w:rsid w:val="002851B0"/>
    <w:rsid w:val="00292E51"/>
    <w:rsid w:val="00294760"/>
    <w:rsid w:val="00296D7F"/>
    <w:rsid w:val="002A3D29"/>
    <w:rsid w:val="002A4355"/>
    <w:rsid w:val="002B1A7D"/>
    <w:rsid w:val="002B48BB"/>
    <w:rsid w:val="002C7759"/>
    <w:rsid w:val="002D10A3"/>
    <w:rsid w:val="002E7872"/>
    <w:rsid w:val="002F3EB7"/>
    <w:rsid w:val="002F5C17"/>
    <w:rsid w:val="0030203E"/>
    <w:rsid w:val="003021C6"/>
    <w:rsid w:val="00302E97"/>
    <w:rsid w:val="003106D7"/>
    <w:rsid w:val="00313455"/>
    <w:rsid w:val="00320F81"/>
    <w:rsid w:val="00342409"/>
    <w:rsid w:val="003465DC"/>
    <w:rsid w:val="00347812"/>
    <w:rsid w:val="003533A3"/>
    <w:rsid w:val="003645C1"/>
    <w:rsid w:val="003744B8"/>
    <w:rsid w:val="00385638"/>
    <w:rsid w:val="003914C7"/>
    <w:rsid w:val="003A65F3"/>
    <w:rsid w:val="003B2EEA"/>
    <w:rsid w:val="003C3142"/>
    <w:rsid w:val="003F070B"/>
    <w:rsid w:val="003F2DFB"/>
    <w:rsid w:val="003F5955"/>
    <w:rsid w:val="003F712E"/>
    <w:rsid w:val="0040021C"/>
    <w:rsid w:val="00402FB1"/>
    <w:rsid w:val="00426C4F"/>
    <w:rsid w:val="00435074"/>
    <w:rsid w:val="00455127"/>
    <w:rsid w:val="004626A9"/>
    <w:rsid w:val="00473CA6"/>
    <w:rsid w:val="0047450D"/>
    <w:rsid w:val="00480A5B"/>
    <w:rsid w:val="00481E00"/>
    <w:rsid w:val="00487EA7"/>
    <w:rsid w:val="004B42CB"/>
    <w:rsid w:val="004B5AAE"/>
    <w:rsid w:val="004C6ECF"/>
    <w:rsid w:val="004D4595"/>
    <w:rsid w:val="004E127A"/>
    <w:rsid w:val="0050073E"/>
    <w:rsid w:val="005037E2"/>
    <w:rsid w:val="00512DCB"/>
    <w:rsid w:val="00522444"/>
    <w:rsid w:val="00526DC9"/>
    <w:rsid w:val="00543538"/>
    <w:rsid w:val="0055207A"/>
    <w:rsid w:val="00552AF5"/>
    <w:rsid w:val="00561A2C"/>
    <w:rsid w:val="00573C0B"/>
    <w:rsid w:val="00576372"/>
    <w:rsid w:val="005A0EF9"/>
    <w:rsid w:val="005D1732"/>
    <w:rsid w:val="005D5062"/>
    <w:rsid w:val="005D6CA6"/>
    <w:rsid w:val="005F2A4A"/>
    <w:rsid w:val="005F40F2"/>
    <w:rsid w:val="005F546B"/>
    <w:rsid w:val="005F7AA3"/>
    <w:rsid w:val="006034AA"/>
    <w:rsid w:val="00611842"/>
    <w:rsid w:val="00624B84"/>
    <w:rsid w:val="006250B3"/>
    <w:rsid w:val="006261EA"/>
    <w:rsid w:val="00627989"/>
    <w:rsid w:val="00644BEC"/>
    <w:rsid w:val="00666431"/>
    <w:rsid w:val="00666B9E"/>
    <w:rsid w:val="00674C34"/>
    <w:rsid w:val="006811F9"/>
    <w:rsid w:val="0068388D"/>
    <w:rsid w:val="006864DA"/>
    <w:rsid w:val="006878DF"/>
    <w:rsid w:val="00687EC0"/>
    <w:rsid w:val="006A6247"/>
    <w:rsid w:val="006A7AB2"/>
    <w:rsid w:val="006B35D0"/>
    <w:rsid w:val="006B7949"/>
    <w:rsid w:val="006C66D8"/>
    <w:rsid w:val="006D38E2"/>
    <w:rsid w:val="006E324E"/>
    <w:rsid w:val="006F5366"/>
    <w:rsid w:val="00716A29"/>
    <w:rsid w:val="00734255"/>
    <w:rsid w:val="00752288"/>
    <w:rsid w:val="007600B9"/>
    <w:rsid w:val="00764920"/>
    <w:rsid w:val="00765E80"/>
    <w:rsid w:val="00771B79"/>
    <w:rsid w:val="00773013"/>
    <w:rsid w:val="00773150"/>
    <w:rsid w:val="00792014"/>
    <w:rsid w:val="00792FF7"/>
    <w:rsid w:val="007A1AE7"/>
    <w:rsid w:val="007A283F"/>
    <w:rsid w:val="007C3105"/>
    <w:rsid w:val="007D09B9"/>
    <w:rsid w:val="007D3929"/>
    <w:rsid w:val="007D3E15"/>
    <w:rsid w:val="0080323E"/>
    <w:rsid w:val="0086679E"/>
    <w:rsid w:val="00873B0C"/>
    <w:rsid w:val="00875A02"/>
    <w:rsid w:val="0087610A"/>
    <w:rsid w:val="008930C9"/>
    <w:rsid w:val="008B2177"/>
    <w:rsid w:val="008B41FC"/>
    <w:rsid w:val="008C1F60"/>
    <w:rsid w:val="00901901"/>
    <w:rsid w:val="009058AC"/>
    <w:rsid w:val="009335B4"/>
    <w:rsid w:val="00944E76"/>
    <w:rsid w:val="0095045D"/>
    <w:rsid w:val="00951BC8"/>
    <w:rsid w:val="00953FC5"/>
    <w:rsid w:val="00962077"/>
    <w:rsid w:val="00966C8A"/>
    <w:rsid w:val="00986681"/>
    <w:rsid w:val="009C228F"/>
    <w:rsid w:val="009C4404"/>
    <w:rsid w:val="009E2B14"/>
    <w:rsid w:val="009E3D14"/>
    <w:rsid w:val="009E7BE5"/>
    <w:rsid w:val="009F2981"/>
    <w:rsid w:val="00A0024B"/>
    <w:rsid w:val="00A06B58"/>
    <w:rsid w:val="00A114E6"/>
    <w:rsid w:val="00A14E0B"/>
    <w:rsid w:val="00A27839"/>
    <w:rsid w:val="00A36355"/>
    <w:rsid w:val="00A64335"/>
    <w:rsid w:val="00A81BF6"/>
    <w:rsid w:val="00A8739F"/>
    <w:rsid w:val="00AA0663"/>
    <w:rsid w:val="00AA1EAB"/>
    <w:rsid w:val="00AB054A"/>
    <w:rsid w:val="00AB3815"/>
    <w:rsid w:val="00AB61EF"/>
    <w:rsid w:val="00AC7DD5"/>
    <w:rsid w:val="00AD0B9B"/>
    <w:rsid w:val="00AD142C"/>
    <w:rsid w:val="00AF0839"/>
    <w:rsid w:val="00AF1F5F"/>
    <w:rsid w:val="00AF77E6"/>
    <w:rsid w:val="00B16300"/>
    <w:rsid w:val="00B2078A"/>
    <w:rsid w:val="00B211D0"/>
    <w:rsid w:val="00B535AB"/>
    <w:rsid w:val="00B63727"/>
    <w:rsid w:val="00B6627B"/>
    <w:rsid w:val="00B81925"/>
    <w:rsid w:val="00B85E15"/>
    <w:rsid w:val="00B9274E"/>
    <w:rsid w:val="00B93A62"/>
    <w:rsid w:val="00B96E8C"/>
    <w:rsid w:val="00BA0B65"/>
    <w:rsid w:val="00BA1EF2"/>
    <w:rsid w:val="00BA527B"/>
    <w:rsid w:val="00BB4F1C"/>
    <w:rsid w:val="00BB78B7"/>
    <w:rsid w:val="00BC38BE"/>
    <w:rsid w:val="00BC4C51"/>
    <w:rsid w:val="00BD11D7"/>
    <w:rsid w:val="00BD1942"/>
    <w:rsid w:val="00BD5A27"/>
    <w:rsid w:val="00BD6380"/>
    <w:rsid w:val="00BF6A73"/>
    <w:rsid w:val="00BF760A"/>
    <w:rsid w:val="00C00A20"/>
    <w:rsid w:val="00C11BE3"/>
    <w:rsid w:val="00C20B16"/>
    <w:rsid w:val="00C36E73"/>
    <w:rsid w:val="00C4240F"/>
    <w:rsid w:val="00C622A1"/>
    <w:rsid w:val="00C64F81"/>
    <w:rsid w:val="00C77739"/>
    <w:rsid w:val="00C86466"/>
    <w:rsid w:val="00CA0A14"/>
    <w:rsid w:val="00CA62FE"/>
    <w:rsid w:val="00CC090A"/>
    <w:rsid w:val="00CD0555"/>
    <w:rsid w:val="00CD18A5"/>
    <w:rsid w:val="00CD6477"/>
    <w:rsid w:val="00CD6911"/>
    <w:rsid w:val="00CD71E0"/>
    <w:rsid w:val="00CE3978"/>
    <w:rsid w:val="00CF67EB"/>
    <w:rsid w:val="00D01956"/>
    <w:rsid w:val="00D02605"/>
    <w:rsid w:val="00D100D8"/>
    <w:rsid w:val="00D222BC"/>
    <w:rsid w:val="00D23E49"/>
    <w:rsid w:val="00D740F9"/>
    <w:rsid w:val="00D93240"/>
    <w:rsid w:val="00D95956"/>
    <w:rsid w:val="00D9731A"/>
    <w:rsid w:val="00DA7807"/>
    <w:rsid w:val="00DB5E80"/>
    <w:rsid w:val="00DC104C"/>
    <w:rsid w:val="00DD3901"/>
    <w:rsid w:val="00DD5C39"/>
    <w:rsid w:val="00DE4DBA"/>
    <w:rsid w:val="00DF6DDC"/>
    <w:rsid w:val="00E02CEB"/>
    <w:rsid w:val="00E02DA2"/>
    <w:rsid w:val="00E05545"/>
    <w:rsid w:val="00E077A3"/>
    <w:rsid w:val="00E12864"/>
    <w:rsid w:val="00E15479"/>
    <w:rsid w:val="00E16F03"/>
    <w:rsid w:val="00E21901"/>
    <w:rsid w:val="00E32ABE"/>
    <w:rsid w:val="00E350B7"/>
    <w:rsid w:val="00E36910"/>
    <w:rsid w:val="00E376C5"/>
    <w:rsid w:val="00E45578"/>
    <w:rsid w:val="00E57401"/>
    <w:rsid w:val="00E75F0C"/>
    <w:rsid w:val="00E82DAA"/>
    <w:rsid w:val="00E9455B"/>
    <w:rsid w:val="00EA29FD"/>
    <w:rsid w:val="00EA5BED"/>
    <w:rsid w:val="00EB7C82"/>
    <w:rsid w:val="00ED0E95"/>
    <w:rsid w:val="00EE0A43"/>
    <w:rsid w:val="00EE1D49"/>
    <w:rsid w:val="00F017E2"/>
    <w:rsid w:val="00F07A91"/>
    <w:rsid w:val="00F31ABD"/>
    <w:rsid w:val="00F45313"/>
    <w:rsid w:val="00F5111F"/>
    <w:rsid w:val="00F600DB"/>
    <w:rsid w:val="00F73647"/>
    <w:rsid w:val="00F74E6C"/>
    <w:rsid w:val="00F7717D"/>
    <w:rsid w:val="00F92F57"/>
    <w:rsid w:val="00FA0864"/>
    <w:rsid w:val="00FB6930"/>
    <w:rsid w:val="00FC5B0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DF91"/>
  <w15:chartTrackingRefBased/>
  <w15:docId w15:val="{52F84313-4367-43F4-A85C-2FD43B5E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rsid w:val="00302E97"/>
    <w:rPr>
      <w:sz w:val="20"/>
    </w:rPr>
  </w:style>
  <w:style w:type="character" w:customStyle="1" w:styleId="CommentTextChar">
    <w:name w:val="Comment Text Char"/>
    <w:basedOn w:val="DefaultParagraphFont"/>
    <w:link w:val="CommentText"/>
    <w:uiPriority w:val="99"/>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 w:type="character" w:styleId="FollowedHyperlink">
    <w:name w:val="FollowedHyperlink"/>
    <w:basedOn w:val="DefaultParagraphFont"/>
    <w:uiPriority w:val="99"/>
    <w:semiHidden/>
    <w:unhideWhenUsed/>
    <w:rsid w:val="005F7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05C7C-A65D-49B4-9CB3-96B7AA82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722</TotalTime>
  <Pages>9</Pages>
  <Words>9796</Words>
  <Characters>55838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10</cp:revision>
  <cp:lastPrinted>2023-01-26T07:50:00Z</cp:lastPrinted>
  <dcterms:created xsi:type="dcterms:W3CDTF">2024-11-04T14:32:00Z</dcterms:created>
  <dcterms:modified xsi:type="dcterms:W3CDTF">2024-11-21T02:45:00Z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http://www.zotero.org/styles/apa-6th-edition</vt:lpwstr>
  </property>
  <property fmtid="{D5CDD505-2E9C-101B-9397-08002B2CF9AE}" pid="6" name="Mendeley Recent Style Id 1_1">
    <vt:lpwstr>http://www.zotero.org/styles/apa</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http://www.zotero.org/styles/chicago-author-date</vt:lpwstr>
  </property>
  <property fmtid="{D5CDD505-2E9C-101B-9397-08002B2CF9AE}" pid="9" name="Mendeley Recent Style Id 4_1">
    <vt:lpwstr>http://www.zotero.org/styles/chicago-fullnote-bibliography</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http://www.zotero.org/styles/harvard1</vt:lpwstr>
  </property>
  <property fmtid="{D5CDD505-2E9C-101B-9397-08002B2CF9AE}" pid="12" name="Mendeley Recent Style Id 7_1">
    <vt:lpwstr>http://www.zotero.org/styles/ieee</vt:lpwstr>
  </property>
  <property fmtid="{D5CDD505-2E9C-101B-9397-08002B2CF9AE}" pid="13" name="Mendeley Recent Style Id 8_1">
    <vt:lpwstr>http://www.zotero.org/styles/modern-humanities-research-association</vt:lpwstr>
  </property>
  <property fmtid="{D5CDD505-2E9C-101B-9397-08002B2CF9AE}" pid="14" name="Mendeley Recent Style Id 9_1">
    <vt:lpwstr>http://www.zotero.org/styles/national-library-of-medicine</vt:lpwstr>
  </property>
  <property fmtid="{D5CDD505-2E9C-101B-9397-08002B2CF9AE}" pid="15" name="Mendeley Recent Style Name 0_1">
    <vt:lpwstr>American Psychological Association 6th edition</vt:lpwstr>
  </property>
  <property fmtid="{D5CDD505-2E9C-101B-9397-08002B2CF9AE}" pid="16" name="Mendeley Recent Style Name 1_1">
    <vt:lpwstr>American Psychological Association 7th edition</vt:lpwstr>
  </property>
  <property fmtid="{D5CDD505-2E9C-101B-9397-08002B2CF9AE}" pid="17" name="Mendeley Recent Style Name 2_1">
    <vt:lpwstr>American Sociological Association 6th edition</vt:lpwstr>
  </property>
  <property fmtid="{D5CDD505-2E9C-101B-9397-08002B2CF9AE}" pid="18" name="Mendeley Recent Style Name 3_1">
    <vt:lpwstr>Chicago Manual of Style 17th edition (author-date)</vt:lpwstr>
  </property>
  <property fmtid="{D5CDD505-2E9C-101B-9397-08002B2CF9AE}" pid="19" name="Mendeley Recent Style Name 4_1">
    <vt:lpwstr>Chicago Manual of Style 17th edition (full note)</vt:lpwstr>
  </property>
  <property fmtid="{D5CDD505-2E9C-101B-9397-08002B2CF9AE}" pid="20" name="Mendeley Recent Style Name 5_1">
    <vt:lpwstr>Cite Them Right 10th edition - Harvard</vt:lpwstr>
  </property>
  <property fmtid="{D5CDD505-2E9C-101B-9397-08002B2CF9AE}" pid="21" name="Mendeley Recent Style Name 6_1">
    <vt:lpwstr>Harvard reference format 1 (deprecated)</vt:lpwstr>
  </property>
  <property fmtid="{D5CDD505-2E9C-101B-9397-08002B2CF9AE}" pid="22" name="Mendeley Recent Style Name 7_1">
    <vt:lpwstr>IEEE</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Name 9_1">
    <vt:lpwstr>National Library of Medicine</vt:lpwstr>
  </property>
  <property fmtid="{D5CDD505-2E9C-101B-9397-08002B2CF9AE}" pid="25" name="Mendeley Unique User Id_1">
    <vt:lpwstr>c35b7b15-53a4-30ef-8557-3954d6bd2d8a</vt:lpwstr>
  </property>
</Properties>
</file>