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7CD8C" w14:textId="77777777" w:rsidR="00A36355" w:rsidRPr="00A36355" w:rsidRDefault="00000000" w:rsidP="004B42CB">
      <w:pPr>
        <w:widowControl/>
        <w:adjustRightInd w:val="0"/>
        <w:snapToGrid w:val="0"/>
        <w:spacing w:before="600" w:after="240" w:line="240" w:lineRule="auto"/>
        <w:rPr>
          <w:rFonts w:ascii="Palatino Linotype" w:eastAsia="Times New Roman" w:hAnsi="Palatino Linotype"/>
          <w:b/>
          <w:snapToGrid w:val="0"/>
          <w:color w:val="000000"/>
          <w:sz w:val="28"/>
          <w:szCs w:val="28"/>
          <w:lang w:eastAsia="de-DE" w:bidi="en-US"/>
        </w:rPr>
      </w:pPr>
      <w:bookmarkStart w:id="0" w:name="_Hlk178620564"/>
      <w:r w:rsidRPr="000713FB">
        <w:rPr>
          <w:rFonts w:ascii="Palatino Linotype" w:eastAsia="Times New Roman" w:hAnsi="Palatino Linotype"/>
          <w:b/>
          <w:snapToGrid w:val="0"/>
          <w:color w:val="000000"/>
          <w:sz w:val="28"/>
          <w:szCs w:val="28"/>
          <w:lang w:eastAsia="de-DE" w:bidi="en-US"/>
        </w:rPr>
        <w:t>Evaluation of Governance, Risk Management, and Compliance (GRC) Policies in Supporting Sustainability and Corporate Social Responsibility</w:t>
      </w:r>
    </w:p>
    <w:bookmarkEnd w:id="0"/>
    <w:p w14:paraId="50E52DEE" w14:textId="77777777" w:rsidR="009058AC" w:rsidRPr="009058AC" w:rsidRDefault="00000000" w:rsidP="009058AC">
      <w:pPr>
        <w:pStyle w:val="Alishlah16affiliation"/>
        <w:rPr>
          <w:b/>
          <w:sz w:val="20"/>
          <w:szCs w:val="22"/>
          <w:lang w:val="id-ID"/>
        </w:rPr>
      </w:pPr>
      <w:r w:rsidRPr="009058AC">
        <w:rPr>
          <w:b/>
          <w:sz w:val="20"/>
          <w:szCs w:val="22"/>
        </w:rPr>
        <w:t>Loso Judijanto</w:t>
      </w:r>
      <w:r w:rsidRPr="009058AC">
        <w:rPr>
          <w:b/>
          <w:sz w:val="20"/>
          <w:szCs w:val="22"/>
          <w:vertAlign w:val="superscript"/>
        </w:rPr>
        <w:t>1</w:t>
      </w:r>
    </w:p>
    <w:p w14:paraId="031FD48A" w14:textId="77777777" w:rsidR="009058AC" w:rsidRPr="009058AC" w:rsidRDefault="00000000" w:rsidP="009058AC">
      <w:pPr>
        <w:pStyle w:val="Alishlah16affiliation"/>
        <w:rPr>
          <w:bCs/>
          <w:sz w:val="20"/>
          <w:szCs w:val="22"/>
        </w:rPr>
      </w:pPr>
      <w:r w:rsidRPr="009058AC">
        <w:rPr>
          <w:bCs/>
          <w:sz w:val="20"/>
          <w:szCs w:val="22"/>
          <w:vertAlign w:val="superscript"/>
        </w:rPr>
        <w:t xml:space="preserve">1) </w:t>
      </w:r>
      <w:r w:rsidRPr="009058AC">
        <w:rPr>
          <w:bCs/>
          <w:sz w:val="20"/>
          <w:szCs w:val="22"/>
        </w:rPr>
        <w:t xml:space="preserve">IPOSS </w:t>
      </w:r>
      <w:r w:rsidRPr="009058AC">
        <w:rPr>
          <w:bCs/>
          <w:sz w:val="20"/>
          <w:szCs w:val="22"/>
          <w:lang w:val="en-ID"/>
        </w:rPr>
        <w:t>Jakarta</w:t>
      </w:r>
      <w:r w:rsidRPr="009058AC">
        <w:rPr>
          <w:bCs/>
          <w:sz w:val="20"/>
          <w:szCs w:val="22"/>
        </w:rPr>
        <w:t>, Indonesia; losojudijantobumn@gmail.com</w:t>
      </w:r>
    </w:p>
    <w:tbl>
      <w:tblPr>
        <w:tblStyle w:val="TableGrid1"/>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74C34" w14:paraId="4B472575" w14:textId="77777777" w:rsidTr="00B81A7E">
        <w:tc>
          <w:tcPr>
            <w:tcW w:w="9072" w:type="dxa"/>
          </w:tcPr>
          <w:p w14:paraId="772953C6" w14:textId="77777777" w:rsidR="00A36355" w:rsidRDefault="00A36355" w:rsidP="00A36355">
            <w:pPr>
              <w:widowControl/>
              <w:adjustRightInd w:val="0"/>
              <w:snapToGrid w:val="0"/>
              <w:spacing w:line="240" w:lineRule="auto"/>
              <w:jc w:val="center"/>
              <w:rPr>
                <w:rFonts w:ascii="Palatino Linotype" w:eastAsia="Times New Roman" w:hAnsi="Palatino Linotype"/>
                <w:color w:val="000000"/>
                <w:szCs w:val="16"/>
                <w:lang w:val="en-US" w:eastAsia="de-DE" w:bidi="en-US"/>
              </w:rPr>
            </w:pPr>
          </w:p>
          <w:p w14:paraId="077FC221" w14:textId="77777777" w:rsidR="00944E76" w:rsidRPr="00A36355" w:rsidRDefault="00944E76" w:rsidP="00A36355">
            <w:pPr>
              <w:widowControl/>
              <w:adjustRightInd w:val="0"/>
              <w:snapToGrid w:val="0"/>
              <w:spacing w:line="240" w:lineRule="auto"/>
              <w:jc w:val="center"/>
              <w:rPr>
                <w:rFonts w:ascii="Palatino Linotype" w:eastAsia="Times New Roman" w:hAnsi="Palatino Linotype"/>
                <w:color w:val="000000"/>
                <w:szCs w:val="16"/>
                <w:lang w:val="en-US" w:eastAsia="de-DE" w:bidi="en-US"/>
              </w:rPr>
            </w:pPr>
          </w:p>
        </w:tc>
      </w:tr>
    </w:tbl>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280"/>
        <w:gridCol w:w="7053"/>
      </w:tblGrid>
      <w:tr w:rsidR="00674C34" w14:paraId="17B12D5F" w14:textId="77777777" w:rsidTr="00561A2C">
        <w:trPr>
          <w:trHeight w:val="368"/>
          <w:jc w:val="center"/>
        </w:trPr>
        <w:tc>
          <w:tcPr>
            <w:tcW w:w="1832" w:type="dxa"/>
            <w:tcBorders>
              <w:top w:val="nil"/>
              <w:left w:val="nil"/>
              <w:bottom w:val="single" w:sz="4" w:space="0" w:color="auto"/>
              <w:right w:val="nil"/>
            </w:tcBorders>
            <w:shd w:val="clear" w:color="auto" w:fill="auto"/>
          </w:tcPr>
          <w:p w14:paraId="0374DF8F" w14:textId="77777777" w:rsidR="00944E76" w:rsidRPr="003C3142" w:rsidRDefault="00000000" w:rsidP="00E82DAA">
            <w:pPr>
              <w:pStyle w:val="Header"/>
              <w:rPr>
                <w:rFonts w:ascii="Palatino Linotype" w:hAnsi="Palatino Linotype"/>
                <w:b/>
                <w:bCs/>
                <w:sz w:val="20"/>
              </w:rPr>
            </w:pPr>
            <w:r w:rsidRPr="003C3142">
              <w:rPr>
                <w:rFonts w:ascii="Palatino Linotype" w:hAnsi="Palatino Linotype"/>
                <w:b/>
                <w:bCs/>
                <w:sz w:val="20"/>
              </w:rPr>
              <w:t>Article history</w:t>
            </w:r>
          </w:p>
        </w:tc>
        <w:tc>
          <w:tcPr>
            <w:tcW w:w="280" w:type="dxa"/>
            <w:tcBorders>
              <w:top w:val="nil"/>
              <w:left w:val="nil"/>
              <w:bottom w:val="nil"/>
              <w:right w:val="nil"/>
            </w:tcBorders>
            <w:shd w:val="clear" w:color="auto" w:fill="auto"/>
          </w:tcPr>
          <w:p w14:paraId="35B13390" w14:textId="77777777" w:rsidR="00944E76" w:rsidRDefault="00944E76" w:rsidP="00E82DAA">
            <w:pPr>
              <w:pStyle w:val="Header"/>
              <w:jc w:val="both"/>
              <w:rPr>
                <w:rFonts w:ascii="Palatino Linotype" w:hAnsi="Palatino Linotype"/>
                <w:b/>
                <w:bCs/>
                <w:sz w:val="20"/>
              </w:rPr>
            </w:pPr>
          </w:p>
        </w:tc>
        <w:tc>
          <w:tcPr>
            <w:tcW w:w="7053" w:type="dxa"/>
            <w:tcBorders>
              <w:top w:val="nil"/>
              <w:left w:val="nil"/>
              <w:bottom w:val="single" w:sz="4" w:space="0" w:color="auto"/>
              <w:right w:val="nil"/>
            </w:tcBorders>
            <w:shd w:val="clear" w:color="auto" w:fill="auto"/>
          </w:tcPr>
          <w:p w14:paraId="6A13E125" w14:textId="50247ED5" w:rsidR="00944E76" w:rsidRDefault="00000000" w:rsidP="00873B0C">
            <w:pPr>
              <w:widowControl/>
              <w:tabs>
                <w:tab w:val="left" w:pos="2442"/>
                <w:tab w:val="left" w:pos="4549"/>
              </w:tabs>
              <w:spacing w:line="240" w:lineRule="auto"/>
              <w:jc w:val="both"/>
              <w:rPr>
                <w:rFonts w:ascii="Palatino Linotype" w:hAnsi="Palatino Linotype"/>
                <w:sz w:val="20"/>
              </w:rPr>
            </w:pPr>
            <w:r w:rsidRPr="00D02605">
              <w:rPr>
                <w:rFonts w:ascii="Palatino Linotype" w:hAnsi="Palatino Linotype"/>
                <w:sz w:val="20"/>
              </w:rPr>
              <w:t>Submitted</w:t>
            </w:r>
            <w:r>
              <w:rPr>
                <w:rFonts w:ascii="Palatino Linotype" w:hAnsi="Palatino Linotype"/>
                <w:sz w:val="20"/>
              </w:rPr>
              <w:t>:</w:t>
            </w:r>
            <w:r w:rsidRPr="00D02605">
              <w:rPr>
                <w:rFonts w:ascii="Palatino Linotype" w:hAnsi="Palatino Linotype"/>
                <w:sz w:val="20"/>
              </w:rPr>
              <w:t xml:space="preserve"> </w:t>
            </w:r>
            <w:r w:rsidR="009058AC">
              <w:rPr>
                <w:rFonts w:ascii="Palatino Linotype" w:hAnsi="Palatino Linotype"/>
                <w:sz w:val="20"/>
              </w:rPr>
              <w:t>2023</w:t>
            </w:r>
            <w:r w:rsidRPr="00D02605">
              <w:rPr>
                <w:rFonts w:ascii="Palatino Linotype" w:hAnsi="Palatino Linotype"/>
                <w:sz w:val="20"/>
              </w:rPr>
              <w:t>/</w:t>
            </w:r>
            <w:r w:rsidR="009058AC">
              <w:rPr>
                <w:rFonts w:ascii="Palatino Linotype" w:hAnsi="Palatino Linotype"/>
                <w:sz w:val="20"/>
              </w:rPr>
              <w:t>0</w:t>
            </w:r>
            <w:r w:rsidR="00435074">
              <w:rPr>
                <w:rFonts w:ascii="Palatino Linotype" w:hAnsi="Palatino Linotype"/>
                <w:sz w:val="20"/>
              </w:rPr>
              <w:t>7</w:t>
            </w:r>
            <w:r w:rsidRPr="00D02605">
              <w:rPr>
                <w:rFonts w:ascii="Palatino Linotype" w:hAnsi="Palatino Linotype"/>
                <w:sz w:val="20"/>
              </w:rPr>
              <w:t>/</w:t>
            </w:r>
            <w:r w:rsidR="009058AC">
              <w:rPr>
                <w:rFonts w:ascii="Palatino Linotype" w:hAnsi="Palatino Linotype"/>
                <w:sz w:val="20"/>
              </w:rPr>
              <w:t>14</w:t>
            </w:r>
            <w:r>
              <w:rPr>
                <w:rFonts w:ascii="Palatino Linotype" w:hAnsi="Palatino Linotype"/>
                <w:sz w:val="20"/>
              </w:rPr>
              <w:t>;</w:t>
            </w:r>
            <w:r w:rsidRPr="00D02605">
              <w:rPr>
                <w:rFonts w:ascii="Palatino Linotype" w:hAnsi="Palatino Linotype"/>
                <w:sz w:val="20"/>
              </w:rPr>
              <w:tab/>
              <w:t>Revised</w:t>
            </w:r>
            <w:r>
              <w:rPr>
                <w:rFonts w:ascii="Palatino Linotype" w:hAnsi="Palatino Linotype"/>
                <w:sz w:val="20"/>
              </w:rPr>
              <w:t>:</w:t>
            </w:r>
            <w:r w:rsidRPr="00D02605">
              <w:rPr>
                <w:rFonts w:ascii="Palatino Linotype" w:hAnsi="Palatino Linotype"/>
                <w:sz w:val="20"/>
              </w:rPr>
              <w:t xml:space="preserve"> </w:t>
            </w:r>
            <w:r w:rsidR="00435074">
              <w:rPr>
                <w:rFonts w:ascii="Palatino Linotype" w:hAnsi="Palatino Linotype"/>
                <w:sz w:val="20"/>
              </w:rPr>
              <w:t>2023</w:t>
            </w:r>
            <w:r w:rsidR="00873B0C" w:rsidRPr="00D02605">
              <w:rPr>
                <w:rFonts w:ascii="Palatino Linotype" w:hAnsi="Palatino Linotype"/>
                <w:sz w:val="20"/>
              </w:rPr>
              <w:t>/</w:t>
            </w:r>
            <w:r w:rsidR="00435074">
              <w:rPr>
                <w:rFonts w:ascii="Palatino Linotype" w:hAnsi="Palatino Linotype"/>
                <w:sz w:val="20"/>
              </w:rPr>
              <w:t>09</w:t>
            </w:r>
            <w:r w:rsidR="00873B0C" w:rsidRPr="00D02605">
              <w:rPr>
                <w:rFonts w:ascii="Palatino Linotype" w:hAnsi="Palatino Linotype"/>
                <w:sz w:val="20"/>
              </w:rPr>
              <w:t>/</w:t>
            </w:r>
            <w:r w:rsidR="00435074">
              <w:rPr>
                <w:rFonts w:ascii="Palatino Linotype" w:hAnsi="Palatino Linotype"/>
                <w:sz w:val="20"/>
              </w:rPr>
              <w:t>18</w:t>
            </w:r>
            <w:r>
              <w:rPr>
                <w:rFonts w:ascii="Palatino Linotype" w:hAnsi="Palatino Linotype"/>
                <w:sz w:val="20"/>
              </w:rPr>
              <w:t>;</w:t>
            </w:r>
            <w:r w:rsidRPr="00D02605">
              <w:rPr>
                <w:rFonts w:ascii="Palatino Linotype" w:hAnsi="Palatino Linotype"/>
                <w:sz w:val="20"/>
              </w:rPr>
              <w:tab/>
              <w:t>Accepted</w:t>
            </w:r>
            <w:r>
              <w:rPr>
                <w:rFonts w:ascii="Palatino Linotype" w:hAnsi="Palatino Linotype"/>
                <w:sz w:val="20"/>
              </w:rPr>
              <w:t>:</w:t>
            </w:r>
            <w:r w:rsidRPr="00D02605">
              <w:rPr>
                <w:rFonts w:ascii="Palatino Linotype" w:hAnsi="Palatino Linotype"/>
                <w:sz w:val="20"/>
              </w:rPr>
              <w:t xml:space="preserve"> </w:t>
            </w:r>
            <w:r w:rsidR="00435074">
              <w:rPr>
                <w:rFonts w:ascii="Palatino Linotype" w:hAnsi="Palatino Linotype"/>
                <w:sz w:val="20"/>
              </w:rPr>
              <w:t>2023</w:t>
            </w:r>
            <w:r w:rsidRPr="00D02605">
              <w:rPr>
                <w:rFonts w:ascii="Palatino Linotype" w:hAnsi="Palatino Linotype"/>
                <w:sz w:val="20"/>
              </w:rPr>
              <w:t>/</w:t>
            </w:r>
            <w:r w:rsidR="00435074">
              <w:rPr>
                <w:rFonts w:ascii="Palatino Linotype" w:hAnsi="Palatino Linotype"/>
                <w:sz w:val="20"/>
              </w:rPr>
              <w:t>10</w:t>
            </w:r>
            <w:r w:rsidRPr="00D02605">
              <w:rPr>
                <w:rFonts w:ascii="Palatino Linotype" w:hAnsi="Palatino Linotype"/>
                <w:sz w:val="20"/>
              </w:rPr>
              <w:t>/</w:t>
            </w:r>
            <w:r w:rsidR="00435074">
              <w:rPr>
                <w:rFonts w:ascii="Palatino Linotype" w:hAnsi="Palatino Linotype"/>
                <w:sz w:val="20"/>
              </w:rPr>
              <w:t>17</w:t>
            </w:r>
          </w:p>
        </w:tc>
      </w:tr>
      <w:tr w:rsidR="00674C34" w14:paraId="79298773" w14:textId="77777777" w:rsidTr="00561A2C">
        <w:trPr>
          <w:trHeight w:val="2686"/>
          <w:jc w:val="center"/>
        </w:trPr>
        <w:tc>
          <w:tcPr>
            <w:tcW w:w="1832" w:type="dxa"/>
            <w:tcBorders>
              <w:top w:val="single" w:sz="4" w:space="0" w:color="auto"/>
              <w:left w:val="nil"/>
              <w:bottom w:val="single" w:sz="4" w:space="0" w:color="auto"/>
              <w:right w:val="nil"/>
            </w:tcBorders>
            <w:shd w:val="clear" w:color="auto" w:fill="auto"/>
          </w:tcPr>
          <w:p w14:paraId="032662B1" w14:textId="77777777" w:rsidR="00A36355" w:rsidRPr="00A36355" w:rsidRDefault="00000000" w:rsidP="00A36355">
            <w:pPr>
              <w:widowControl/>
              <w:adjustRightInd w:val="0"/>
              <w:snapToGrid w:val="0"/>
              <w:spacing w:line="240" w:lineRule="auto"/>
              <w:ind w:left="37"/>
              <w:jc w:val="both"/>
              <w:rPr>
                <w:rFonts w:ascii="Palatino Linotype" w:eastAsia="Times New Roman" w:hAnsi="Palatino Linotype"/>
                <w:snapToGrid w:val="0"/>
                <w:color w:val="000000"/>
                <w:sz w:val="18"/>
                <w:szCs w:val="18"/>
                <w:lang w:val="en-US" w:eastAsia="de-DE" w:bidi="en-US"/>
              </w:rPr>
            </w:pPr>
            <w:r w:rsidRPr="00A36355">
              <w:rPr>
                <w:rFonts w:ascii="Palatino Linotype" w:eastAsia="Times New Roman" w:hAnsi="Palatino Linotype"/>
                <w:b/>
                <w:bCs/>
                <w:iCs/>
                <w:snapToGrid w:val="0"/>
                <w:color w:val="000000"/>
                <w:sz w:val="20"/>
                <w:lang w:val="en-US" w:eastAsia="de-DE" w:bidi="en-US"/>
              </w:rPr>
              <w:t>Abstract</w:t>
            </w:r>
          </w:p>
          <w:p w14:paraId="72A4D738"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38E18505"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3EB8DD2B"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550997FB"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6C185E75"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tc>
        <w:tc>
          <w:tcPr>
            <w:tcW w:w="280" w:type="dxa"/>
            <w:tcBorders>
              <w:top w:val="nil"/>
              <w:left w:val="nil"/>
              <w:bottom w:val="nil"/>
              <w:right w:val="nil"/>
            </w:tcBorders>
            <w:shd w:val="clear" w:color="auto" w:fill="auto"/>
          </w:tcPr>
          <w:p w14:paraId="7DECAC61" w14:textId="77777777" w:rsidR="00A36355" w:rsidRPr="00A36355" w:rsidRDefault="00A36355" w:rsidP="00A36355">
            <w:pPr>
              <w:widowControl/>
              <w:spacing w:before="120" w:line="240" w:lineRule="auto"/>
              <w:jc w:val="both"/>
              <w:rPr>
                <w:rFonts w:ascii="Palatino Linotype" w:eastAsia="Times New Roman" w:hAnsi="Palatino Linotype" w:cs="Arial"/>
                <w:sz w:val="18"/>
                <w:szCs w:val="18"/>
                <w:lang w:val="en-US"/>
              </w:rPr>
            </w:pPr>
          </w:p>
        </w:tc>
        <w:tc>
          <w:tcPr>
            <w:tcW w:w="7053" w:type="dxa"/>
            <w:tcBorders>
              <w:top w:val="single" w:sz="4" w:space="0" w:color="auto"/>
              <w:left w:val="nil"/>
              <w:right w:val="nil"/>
            </w:tcBorders>
            <w:shd w:val="clear" w:color="auto" w:fill="auto"/>
          </w:tcPr>
          <w:p w14:paraId="7B9E0B6E" w14:textId="77777777" w:rsidR="00A36355" w:rsidRPr="006A7AB2" w:rsidRDefault="00000000" w:rsidP="00B211D0">
            <w:pPr>
              <w:widowControl/>
              <w:spacing w:line="240" w:lineRule="auto"/>
              <w:ind w:right="-12"/>
              <w:jc w:val="both"/>
              <w:rPr>
                <w:rFonts w:ascii="Palatino Linotype" w:eastAsia="Times New Roman" w:hAnsi="Palatino Linotype"/>
                <w:color w:val="000000"/>
                <w:sz w:val="20"/>
                <w:lang w:val="en-US" w:eastAsia="de-DE" w:bidi="en-US"/>
              </w:rPr>
            </w:pPr>
            <w:r w:rsidRPr="00E21901">
              <w:rPr>
                <w:rFonts w:ascii="Palatino Linotype" w:eastAsia="Times New Roman" w:hAnsi="Palatino Linotype"/>
                <w:color w:val="000000"/>
                <w:sz w:val="20"/>
                <w:lang w:val="en-US" w:eastAsia="de-DE" w:bidi="en-US"/>
              </w:rPr>
              <w:t>In an era of increasing scrutiny on corporate behavior, the integration of Governance, Risk Management, and Compliance (GRC) policies has become essential for organizations striving to achieve sustainability and corporate social responsibility (CSR). This research aims to evaluate the effectiveness of GRC policies in supporting sustainability and CSR initiatives across various industries. Employing a mixed-methods approach, the study combines quantitative analysis through surveys administered to diverse organizations and qualitative insights from interviews with key stakeholders in GRC, sustainability, and CSR roles. The findings indicate a significant correlation between well-structured GRC frameworks and enhanced sustainability outcomes, with organizations reporting a 30% increase in achieving sustainability targets. Additionally, qualitative data revealed that effective governance fosters accountability, proactive risk management mitigates environmental and social risks, and compliance cultivates stakeholder trust. The research concludes that organizations prioritizing and integrating GRC practices are better equipped to navigate sustainability challenges and improve their CSR efforts. The study contributes to the existing literature by providing empirical evidence linking GRC policies to sustainable practices. It emphasizes the need to adapt these frameworks to meet evolving societal expectations. These insights offer valuable guidance for practitioners seeking to enhance their organizational strategies and promote responsible business conduct.</w:t>
            </w:r>
          </w:p>
        </w:tc>
      </w:tr>
      <w:tr w:rsidR="00674C34" w14:paraId="569C74BF" w14:textId="77777777" w:rsidTr="005D1732">
        <w:trPr>
          <w:trHeight w:val="368"/>
          <w:jc w:val="center"/>
        </w:trPr>
        <w:tc>
          <w:tcPr>
            <w:tcW w:w="1832" w:type="dxa"/>
            <w:tcBorders>
              <w:top w:val="single" w:sz="4" w:space="0" w:color="auto"/>
              <w:left w:val="nil"/>
              <w:bottom w:val="single" w:sz="4" w:space="0" w:color="auto"/>
              <w:right w:val="nil"/>
            </w:tcBorders>
            <w:shd w:val="clear" w:color="auto" w:fill="auto"/>
          </w:tcPr>
          <w:p w14:paraId="493E36CB" w14:textId="77777777" w:rsidR="00A36355" w:rsidRPr="00A36355" w:rsidRDefault="00000000" w:rsidP="00A36355">
            <w:pPr>
              <w:widowControl/>
              <w:spacing w:line="240" w:lineRule="auto"/>
              <w:jc w:val="both"/>
              <w:rPr>
                <w:rFonts w:ascii="Palatino Linotype" w:eastAsia="Times New Roman" w:hAnsi="Palatino Linotype" w:cs="Arial"/>
                <w:b/>
                <w:bCs/>
                <w:i/>
                <w:sz w:val="20"/>
                <w:lang w:val="en-US"/>
              </w:rPr>
            </w:pPr>
            <w:r w:rsidRPr="00A36355">
              <w:rPr>
                <w:rFonts w:ascii="Palatino Linotype" w:hAnsi="Palatino Linotype" w:cs="Arial"/>
                <w:b/>
                <w:bCs/>
                <w:sz w:val="20"/>
                <w:lang w:val="en-ID"/>
              </w:rPr>
              <w:t>Keywords</w:t>
            </w:r>
          </w:p>
        </w:tc>
        <w:tc>
          <w:tcPr>
            <w:tcW w:w="280" w:type="dxa"/>
            <w:tcBorders>
              <w:top w:val="nil"/>
              <w:left w:val="nil"/>
              <w:bottom w:val="nil"/>
              <w:right w:val="nil"/>
            </w:tcBorders>
            <w:shd w:val="clear" w:color="auto" w:fill="auto"/>
          </w:tcPr>
          <w:p w14:paraId="72C8F8DD" w14:textId="77777777" w:rsidR="00A36355" w:rsidRPr="00A36355" w:rsidRDefault="00A36355" w:rsidP="00A36355">
            <w:pPr>
              <w:widowControl/>
              <w:spacing w:line="240" w:lineRule="auto"/>
              <w:jc w:val="both"/>
              <w:rPr>
                <w:rFonts w:ascii="Palatino Linotype" w:eastAsia="Times New Roman" w:hAnsi="Palatino Linotype" w:cs="Arial"/>
                <w:sz w:val="20"/>
                <w:lang w:val="en-US"/>
              </w:rPr>
            </w:pPr>
          </w:p>
        </w:tc>
        <w:tc>
          <w:tcPr>
            <w:tcW w:w="7053" w:type="dxa"/>
            <w:tcBorders>
              <w:top w:val="nil"/>
              <w:left w:val="nil"/>
              <w:bottom w:val="single" w:sz="4" w:space="0" w:color="auto"/>
              <w:right w:val="nil"/>
            </w:tcBorders>
            <w:shd w:val="clear" w:color="auto" w:fill="auto"/>
          </w:tcPr>
          <w:p w14:paraId="23001E70" w14:textId="77777777" w:rsidR="00A36355" w:rsidRPr="003C3142" w:rsidRDefault="00000000" w:rsidP="009058AC">
            <w:pPr>
              <w:widowControl/>
              <w:spacing w:after="60" w:line="240" w:lineRule="auto"/>
              <w:ind w:right="-12"/>
              <w:jc w:val="both"/>
              <w:rPr>
                <w:rFonts w:ascii="Palatino Linotype" w:hAnsi="Palatino Linotype"/>
                <w:sz w:val="20"/>
              </w:rPr>
            </w:pPr>
            <w:r w:rsidRPr="00CD6477">
              <w:rPr>
                <w:rFonts w:ascii="Palatino Linotype" w:hAnsi="Palatino Linotype"/>
                <w:sz w:val="20"/>
                <w:lang w:bidi="en-US"/>
              </w:rPr>
              <w:t>Corporate Social Responsibility</w:t>
            </w:r>
            <w:r>
              <w:rPr>
                <w:rFonts w:ascii="Palatino Linotype" w:hAnsi="Palatino Linotype"/>
                <w:sz w:val="20"/>
                <w:lang w:bidi="en-US"/>
              </w:rPr>
              <w:t xml:space="preserve">; </w:t>
            </w:r>
            <w:r w:rsidRPr="00CD6477">
              <w:rPr>
                <w:rFonts w:ascii="Palatino Linotype" w:hAnsi="Palatino Linotype"/>
                <w:sz w:val="20"/>
                <w:lang w:bidi="en-US"/>
              </w:rPr>
              <w:t>Evaluation</w:t>
            </w:r>
            <w:r w:rsidR="00CC090A">
              <w:rPr>
                <w:rFonts w:ascii="Palatino Linotype" w:hAnsi="Palatino Linotype"/>
                <w:sz w:val="20"/>
                <w:lang w:bidi="en-US"/>
              </w:rPr>
              <w:t>;</w:t>
            </w:r>
            <w:r>
              <w:t xml:space="preserve"> </w:t>
            </w:r>
            <w:r w:rsidRPr="00CD6477">
              <w:rPr>
                <w:rFonts w:ascii="Palatino Linotype" w:hAnsi="Palatino Linotype"/>
                <w:sz w:val="20"/>
                <w:lang w:bidi="en-US"/>
              </w:rPr>
              <w:t>GRC</w:t>
            </w:r>
            <w:r w:rsidR="009058AC" w:rsidRPr="009058AC">
              <w:rPr>
                <w:rFonts w:ascii="Palatino Linotype" w:hAnsi="Palatino Linotype"/>
                <w:sz w:val="20"/>
                <w:lang w:bidi="en-US"/>
              </w:rPr>
              <w:t>.</w:t>
            </w:r>
          </w:p>
        </w:tc>
      </w:tr>
      <w:tr w:rsidR="00674C34" w14:paraId="778FFC7F" w14:textId="77777777" w:rsidTr="005D1732">
        <w:trPr>
          <w:trHeight w:val="368"/>
          <w:jc w:val="center"/>
        </w:trPr>
        <w:tc>
          <w:tcPr>
            <w:tcW w:w="1832" w:type="dxa"/>
            <w:tcBorders>
              <w:top w:val="single" w:sz="4" w:space="0" w:color="auto"/>
              <w:left w:val="nil"/>
              <w:bottom w:val="single" w:sz="4" w:space="0" w:color="auto"/>
              <w:right w:val="nil"/>
            </w:tcBorders>
            <w:shd w:val="clear" w:color="auto" w:fill="auto"/>
          </w:tcPr>
          <w:p w14:paraId="4B3796DB" w14:textId="77777777" w:rsidR="006A7AB2" w:rsidRPr="00A36355" w:rsidRDefault="00000000" w:rsidP="00773150">
            <w:pPr>
              <w:widowControl/>
              <w:spacing w:line="240" w:lineRule="auto"/>
              <w:rPr>
                <w:rFonts w:ascii="Palatino Linotype" w:hAnsi="Palatino Linotype" w:cs="Arial"/>
                <w:b/>
                <w:bCs/>
                <w:sz w:val="20"/>
                <w:lang w:val="en-ID"/>
              </w:rPr>
            </w:pPr>
            <w:r>
              <w:rPr>
                <w:noProof/>
              </w:rPr>
              <w:drawing>
                <wp:inline distT="0" distB="0" distL="0" distR="0" wp14:anchorId="59A77C5A" wp14:editId="095A7293">
                  <wp:extent cx="828136" cy="314119"/>
                  <wp:effectExtent l="0" t="0" r="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reative Commons Licens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42880" cy="319712"/>
                          </a:xfrm>
                          <a:prstGeom prst="rect">
                            <a:avLst/>
                          </a:prstGeom>
                          <a:noFill/>
                          <a:ln>
                            <a:noFill/>
                          </a:ln>
                        </pic:spPr>
                      </pic:pic>
                    </a:graphicData>
                  </a:graphic>
                </wp:inline>
              </w:drawing>
            </w:r>
          </w:p>
        </w:tc>
        <w:tc>
          <w:tcPr>
            <w:tcW w:w="280" w:type="dxa"/>
            <w:tcBorders>
              <w:top w:val="nil"/>
              <w:left w:val="nil"/>
              <w:bottom w:val="nil"/>
              <w:right w:val="nil"/>
            </w:tcBorders>
            <w:shd w:val="clear" w:color="auto" w:fill="auto"/>
          </w:tcPr>
          <w:p w14:paraId="2EA336BC" w14:textId="77777777" w:rsidR="006A7AB2" w:rsidRPr="00A36355" w:rsidRDefault="006A7AB2" w:rsidP="00A36355">
            <w:pPr>
              <w:widowControl/>
              <w:spacing w:line="240" w:lineRule="auto"/>
              <w:jc w:val="both"/>
              <w:rPr>
                <w:rFonts w:ascii="Palatino Linotype" w:eastAsia="Times New Roman" w:hAnsi="Palatino Linotype" w:cs="Arial"/>
                <w:sz w:val="20"/>
                <w:lang w:val="en-US"/>
              </w:rPr>
            </w:pPr>
          </w:p>
        </w:tc>
        <w:tc>
          <w:tcPr>
            <w:tcW w:w="7053" w:type="dxa"/>
            <w:tcBorders>
              <w:top w:val="single" w:sz="4" w:space="0" w:color="auto"/>
              <w:left w:val="nil"/>
              <w:bottom w:val="single" w:sz="4" w:space="0" w:color="auto"/>
              <w:right w:val="nil"/>
            </w:tcBorders>
            <w:shd w:val="clear" w:color="auto" w:fill="auto"/>
          </w:tcPr>
          <w:p w14:paraId="4677A8B5" w14:textId="77777777" w:rsidR="006A7AB2" w:rsidRDefault="00000000" w:rsidP="003C3142">
            <w:pPr>
              <w:spacing w:line="240" w:lineRule="auto"/>
              <w:ind w:right="-108"/>
              <w:jc w:val="both"/>
              <w:rPr>
                <w:rFonts w:ascii="Palatino Linotype" w:hAnsi="Palatino Linotype"/>
                <w:sz w:val="20"/>
              </w:rPr>
            </w:pPr>
            <w:r>
              <w:rPr>
                <w:rFonts w:ascii="Cambria" w:hAnsi="Cambria" w:cs="Calibri"/>
                <w:b/>
                <w:szCs w:val="16"/>
                <w:lang w:eastAsia="id-ID"/>
              </w:rPr>
              <w:t>©</w:t>
            </w:r>
            <w:r>
              <w:rPr>
                <w:rFonts w:ascii="Cambria" w:hAnsi="Cambria" w:cs="Calibri"/>
                <w:b/>
                <w:spacing w:val="36"/>
                <w:szCs w:val="16"/>
                <w:lang w:eastAsia="id-ID"/>
              </w:rPr>
              <w:t xml:space="preserve"> </w:t>
            </w:r>
            <w:r w:rsidR="009058AC">
              <w:rPr>
                <w:rFonts w:ascii="Palatino Linotype" w:hAnsi="Palatino Linotype" w:cs="Calibri"/>
                <w:b/>
                <w:spacing w:val="-1"/>
                <w:szCs w:val="16"/>
                <w:lang w:eastAsia="id-ID"/>
              </w:rPr>
              <w:t>2023</w:t>
            </w:r>
            <w:r>
              <w:rPr>
                <w:rFonts w:ascii="Palatino Linotype" w:hAnsi="Palatino Linotype" w:cs="Calibri"/>
                <w:b/>
                <w:spacing w:val="36"/>
                <w:szCs w:val="16"/>
                <w:lang w:val="en-US" w:eastAsia="id-ID"/>
              </w:rPr>
              <w:t xml:space="preserve"> </w:t>
            </w:r>
            <w:r>
              <w:rPr>
                <w:rFonts w:ascii="Palatino Linotype" w:hAnsi="Palatino Linotype" w:cs="Calibri"/>
                <w:b/>
                <w:spacing w:val="-1"/>
                <w:szCs w:val="16"/>
                <w:lang w:eastAsia="id-ID"/>
              </w:rPr>
              <w:t>by</w:t>
            </w:r>
            <w:r>
              <w:rPr>
                <w:rFonts w:ascii="Palatino Linotype" w:hAnsi="Palatino Linotype" w:cs="Calibri"/>
                <w:b/>
                <w:spacing w:val="34"/>
                <w:szCs w:val="16"/>
                <w:lang w:eastAsia="id-ID"/>
              </w:rPr>
              <w:t xml:space="preserve"> </w:t>
            </w:r>
            <w:r>
              <w:rPr>
                <w:rFonts w:ascii="Palatino Linotype" w:hAnsi="Palatino Linotype" w:cs="Calibri"/>
                <w:b/>
                <w:szCs w:val="16"/>
                <w:lang w:eastAsia="id-ID"/>
              </w:rPr>
              <w:t>the</w:t>
            </w:r>
            <w:r>
              <w:rPr>
                <w:rFonts w:ascii="Palatino Linotype" w:hAnsi="Palatino Linotype" w:cs="Calibri"/>
                <w:b/>
                <w:spacing w:val="35"/>
                <w:szCs w:val="16"/>
                <w:lang w:eastAsia="id-ID"/>
              </w:rPr>
              <w:t xml:space="preserve"> </w:t>
            </w:r>
            <w:r>
              <w:rPr>
                <w:rFonts w:ascii="Palatino Linotype" w:hAnsi="Palatino Linotype" w:cs="Calibri"/>
                <w:b/>
                <w:szCs w:val="16"/>
                <w:lang w:eastAsia="id-ID"/>
              </w:rPr>
              <w:t>authors</w:t>
            </w:r>
            <w:r>
              <w:rPr>
                <w:rFonts w:ascii="Palatino Linotype" w:hAnsi="Palatino Linotype" w:cs="Calibri"/>
                <w:szCs w:val="16"/>
                <w:lang w:eastAsia="id-ID"/>
              </w:rPr>
              <w:t>.</w:t>
            </w:r>
            <w:r>
              <w:rPr>
                <w:rFonts w:ascii="Palatino Linotype" w:hAnsi="Palatino Linotype" w:cs="Calibri"/>
                <w:spacing w:val="29"/>
                <w:szCs w:val="16"/>
                <w:lang w:eastAsia="id-ID"/>
              </w:rPr>
              <w:t xml:space="preserve"> </w:t>
            </w:r>
            <w:r w:rsidR="002443C2">
              <w:rPr>
                <w:rFonts w:ascii="Palatino Linotype" w:hAnsi="Palatino Linotype" w:cs="Calibri"/>
                <w:spacing w:val="-1"/>
                <w:szCs w:val="16"/>
                <w:lang w:eastAsia="id-ID"/>
              </w:rPr>
              <w:t xml:space="preserve">This is an </w:t>
            </w:r>
            <w:r>
              <w:rPr>
                <w:rFonts w:ascii="Palatino Linotype" w:hAnsi="Palatino Linotype" w:cs="Calibri"/>
                <w:spacing w:val="-1"/>
                <w:szCs w:val="16"/>
                <w:lang w:eastAsia="id-ID"/>
              </w:rPr>
              <w:t>open</w:t>
            </w:r>
            <w:r w:rsidR="002443C2">
              <w:rPr>
                <w:rFonts w:ascii="Palatino Linotype" w:hAnsi="Palatino Linotype" w:cs="Calibri"/>
                <w:spacing w:val="-1"/>
                <w:szCs w:val="16"/>
                <w:lang w:eastAsia="id-ID"/>
              </w:rPr>
              <w:t>-</w:t>
            </w:r>
            <w:r>
              <w:rPr>
                <w:rFonts w:ascii="Palatino Linotype" w:hAnsi="Palatino Linotype" w:cs="Calibri"/>
                <w:spacing w:val="-1"/>
                <w:szCs w:val="16"/>
                <w:lang w:eastAsia="id-ID"/>
              </w:rPr>
              <w:t>access</w:t>
            </w:r>
            <w:r>
              <w:rPr>
                <w:rFonts w:ascii="Palatino Linotype" w:hAnsi="Palatino Linotype" w:cs="Calibri"/>
                <w:spacing w:val="27"/>
                <w:szCs w:val="16"/>
                <w:lang w:eastAsia="id-ID"/>
              </w:rPr>
              <w:t xml:space="preserve"> </w:t>
            </w:r>
            <w:r>
              <w:rPr>
                <w:rFonts w:ascii="Palatino Linotype" w:hAnsi="Palatino Linotype" w:cs="Calibri"/>
                <w:spacing w:val="-1"/>
                <w:szCs w:val="16"/>
                <w:lang w:eastAsia="id-ID"/>
              </w:rPr>
              <w:t>publication</w:t>
            </w:r>
            <w:r>
              <w:rPr>
                <w:rFonts w:ascii="Palatino Linotype" w:hAnsi="Palatino Linotype" w:cs="Calibri"/>
                <w:spacing w:val="30"/>
                <w:szCs w:val="16"/>
                <w:lang w:eastAsia="id-ID"/>
              </w:rPr>
              <w:t xml:space="preserve"> </w:t>
            </w:r>
            <w:r>
              <w:rPr>
                <w:rFonts w:ascii="Palatino Linotype" w:hAnsi="Palatino Linotype" w:cs="Calibri"/>
                <w:szCs w:val="16"/>
                <w:lang w:eastAsia="id-ID"/>
              </w:rPr>
              <w:t>under</w:t>
            </w:r>
            <w:r>
              <w:rPr>
                <w:rFonts w:ascii="Palatino Linotype" w:hAnsi="Palatino Linotype" w:cs="Calibri"/>
                <w:spacing w:val="28"/>
                <w:szCs w:val="16"/>
                <w:lang w:eastAsia="id-ID"/>
              </w:rPr>
              <w:t xml:space="preserve"> </w:t>
            </w:r>
            <w:r>
              <w:rPr>
                <w:rFonts w:ascii="Palatino Linotype" w:hAnsi="Palatino Linotype" w:cs="Calibri"/>
                <w:szCs w:val="16"/>
                <w:lang w:eastAsia="id-ID"/>
              </w:rPr>
              <w:t>the</w:t>
            </w:r>
            <w:r>
              <w:rPr>
                <w:rFonts w:ascii="Palatino Linotype" w:hAnsi="Palatino Linotype" w:cs="Calibri"/>
                <w:spacing w:val="29"/>
                <w:szCs w:val="16"/>
                <w:lang w:eastAsia="id-ID"/>
              </w:rPr>
              <w:t xml:space="preserve"> </w:t>
            </w:r>
            <w:r>
              <w:rPr>
                <w:rFonts w:ascii="Palatino Linotype" w:hAnsi="Palatino Linotype" w:cs="Calibri"/>
                <w:spacing w:val="-1"/>
                <w:szCs w:val="16"/>
                <w:lang w:eastAsia="id-ID"/>
              </w:rPr>
              <w:t>terms</w:t>
            </w:r>
            <w:r w:rsidR="003C3142">
              <w:rPr>
                <w:rFonts w:ascii="Palatino Linotype" w:hAnsi="Palatino Linotype" w:cs="Calibri"/>
                <w:spacing w:val="-1"/>
                <w:szCs w:val="16"/>
                <w:lang w:eastAsia="id-ID"/>
              </w:rPr>
              <w:t xml:space="preserve"> </w:t>
            </w:r>
            <w:r>
              <w:rPr>
                <w:rFonts w:ascii="Palatino Linotype" w:hAnsi="Palatino Linotype" w:cs="Calibri"/>
                <w:spacing w:val="-1"/>
                <w:szCs w:val="16"/>
                <w:lang w:val="en-US" w:eastAsia="id-ID"/>
              </w:rPr>
              <w:t>a</w:t>
            </w:r>
            <w:r>
              <w:rPr>
                <w:rFonts w:ascii="Palatino Linotype" w:hAnsi="Palatino Linotype" w:cs="Calibri"/>
                <w:spacing w:val="-1"/>
                <w:szCs w:val="16"/>
                <w:lang w:eastAsia="id-ID"/>
              </w:rPr>
              <w:t>nd</w:t>
            </w:r>
            <w:r>
              <w:rPr>
                <w:rFonts w:ascii="Palatino Linotype" w:hAnsi="Palatino Linotype" w:cs="Calibri"/>
                <w:spacing w:val="-1"/>
                <w:szCs w:val="16"/>
                <w:lang w:val="en-US" w:eastAsia="id-ID"/>
              </w:rPr>
              <w:t xml:space="preserve"> </w:t>
            </w:r>
            <w:r>
              <w:rPr>
                <w:rFonts w:ascii="Palatino Linotype" w:hAnsi="Palatino Linotype" w:cs="Calibri"/>
                <w:spacing w:val="-1"/>
                <w:szCs w:val="16"/>
                <w:lang w:eastAsia="id-ID"/>
              </w:rPr>
              <w:t>conditions</w:t>
            </w:r>
            <w:r>
              <w:rPr>
                <w:rFonts w:ascii="Palatino Linotype" w:hAnsi="Palatino Linotype" w:cs="Calibri"/>
                <w:spacing w:val="18"/>
                <w:szCs w:val="16"/>
                <w:lang w:eastAsia="id-ID"/>
              </w:rPr>
              <w:t xml:space="preserve"> </w:t>
            </w:r>
            <w:r>
              <w:rPr>
                <w:rFonts w:ascii="Palatino Linotype" w:hAnsi="Palatino Linotype" w:cs="Calibri"/>
                <w:szCs w:val="16"/>
                <w:lang w:eastAsia="id-ID"/>
              </w:rPr>
              <w:t>of</w:t>
            </w:r>
            <w:r>
              <w:rPr>
                <w:rFonts w:ascii="Palatino Linotype" w:hAnsi="Palatino Linotype" w:cs="Calibri"/>
                <w:spacing w:val="19"/>
                <w:szCs w:val="16"/>
                <w:lang w:eastAsia="id-ID"/>
              </w:rPr>
              <w:t xml:space="preserve"> </w:t>
            </w:r>
            <w:r>
              <w:rPr>
                <w:rFonts w:ascii="Palatino Linotype" w:hAnsi="Palatino Linotype" w:cs="Calibri"/>
                <w:spacing w:val="-1"/>
                <w:szCs w:val="16"/>
                <w:lang w:eastAsia="id-ID"/>
              </w:rPr>
              <w:t>the</w:t>
            </w:r>
            <w:r>
              <w:rPr>
                <w:rFonts w:ascii="Palatino Linotype" w:hAnsi="Palatino Linotype" w:cs="Calibri"/>
                <w:spacing w:val="42"/>
                <w:szCs w:val="16"/>
                <w:lang w:eastAsia="id-ID"/>
              </w:rPr>
              <w:t xml:space="preserve"> </w:t>
            </w:r>
            <w:r>
              <w:rPr>
                <w:rFonts w:ascii="Palatino Linotype" w:hAnsi="Palatino Linotype" w:cs="Calibri"/>
                <w:spacing w:val="-1"/>
                <w:szCs w:val="16"/>
                <w:lang w:eastAsia="id-ID"/>
              </w:rPr>
              <w:t>Creative</w:t>
            </w:r>
            <w:r>
              <w:rPr>
                <w:rFonts w:ascii="Palatino Linotype" w:hAnsi="Palatino Linotype" w:cs="Calibri"/>
                <w:spacing w:val="20"/>
                <w:szCs w:val="16"/>
                <w:lang w:eastAsia="id-ID"/>
              </w:rPr>
              <w:t xml:space="preserve"> </w:t>
            </w:r>
            <w:r>
              <w:rPr>
                <w:rFonts w:ascii="Palatino Linotype" w:hAnsi="Palatino Linotype" w:cs="Calibri"/>
                <w:spacing w:val="-1"/>
                <w:szCs w:val="16"/>
                <w:lang w:eastAsia="id-ID"/>
              </w:rPr>
              <w:t>Commons</w:t>
            </w:r>
            <w:r>
              <w:rPr>
                <w:rFonts w:ascii="Palatino Linotype" w:hAnsi="Palatino Linotype" w:cs="Calibri"/>
                <w:spacing w:val="19"/>
                <w:szCs w:val="16"/>
                <w:lang w:eastAsia="id-ID"/>
              </w:rPr>
              <w:t xml:space="preserve"> </w:t>
            </w:r>
            <w:r>
              <w:rPr>
                <w:rFonts w:ascii="Palatino Linotype" w:hAnsi="Palatino Linotype" w:cs="Calibri"/>
                <w:spacing w:val="-1"/>
                <w:szCs w:val="16"/>
                <w:lang w:eastAsia="id-ID"/>
              </w:rPr>
              <w:t xml:space="preserve">Attribution </w:t>
            </w:r>
            <w:r>
              <w:rPr>
                <w:rFonts w:ascii="Palatino Linotype" w:hAnsi="Palatino Linotype" w:cs="Calibri"/>
                <w:szCs w:val="16"/>
                <w:lang w:eastAsia="id-ID"/>
              </w:rPr>
              <w:t>4.0</w:t>
            </w:r>
            <w:r>
              <w:rPr>
                <w:rFonts w:ascii="Palatino Linotype" w:hAnsi="Palatino Linotype" w:cs="Calibri"/>
                <w:spacing w:val="20"/>
                <w:szCs w:val="16"/>
                <w:lang w:eastAsia="id-ID"/>
              </w:rPr>
              <w:t xml:space="preserve"> </w:t>
            </w:r>
            <w:r>
              <w:rPr>
                <w:rFonts w:ascii="Palatino Linotype" w:hAnsi="Palatino Linotype" w:cs="Calibri"/>
                <w:spacing w:val="-1"/>
                <w:szCs w:val="16"/>
                <w:lang w:eastAsia="id-ID"/>
              </w:rPr>
              <w:t>International</w:t>
            </w:r>
            <w:r>
              <w:rPr>
                <w:rFonts w:ascii="Palatino Linotype" w:hAnsi="Palatino Linotype" w:cs="Calibri"/>
                <w:spacing w:val="-8"/>
                <w:szCs w:val="16"/>
                <w:lang w:eastAsia="id-ID"/>
              </w:rPr>
              <w:t xml:space="preserve"> </w:t>
            </w:r>
            <w:r>
              <w:rPr>
                <w:rFonts w:ascii="Palatino Linotype" w:hAnsi="Palatino Linotype" w:cs="Calibri"/>
                <w:szCs w:val="16"/>
                <w:lang w:eastAsia="id-ID"/>
              </w:rPr>
              <w:t>(CC</w:t>
            </w:r>
            <w:r>
              <w:rPr>
                <w:rFonts w:ascii="Palatino Linotype" w:hAnsi="Palatino Linotype" w:cs="Calibri"/>
                <w:spacing w:val="-9"/>
                <w:szCs w:val="16"/>
                <w:lang w:eastAsia="id-ID"/>
              </w:rPr>
              <w:t xml:space="preserve"> </w:t>
            </w:r>
            <w:r>
              <w:rPr>
                <w:rFonts w:ascii="Palatino Linotype" w:hAnsi="Palatino Linotype" w:cs="Calibri"/>
                <w:szCs w:val="16"/>
                <w:lang w:eastAsia="id-ID"/>
              </w:rPr>
              <w:t>BY SA)</w:t>
            </w:r>
            <w:r>
              <w:rPr>
                <w:rFonts w:ascii="Palatino Linotype" w:hAnsi="Palatino Linotype" w:cs="Calibri"/>
                <w:spacing w:val="-8"/>
                <w:szCs w:val="16"/>
                <w:lang w:eastAsia="id-ID"/>
              </w:rPr>
              <w:t xml:space="preserve"> </w:t>
            </w:r>
            <w:r>
              <w:rPr>
                <w:rFonts w:ascii="Palatino Linotype" w:hAnsi="Palatino Linotype" w:cs="Calibri"/>
                <w:spacing w:val="-1"/>
                <w:szCs w:val="16"/>
                <w:lang w:eastAsia="id-ID"/>
              </w:rPr>
              <w:t>license</w:t>
            </w:r>
            <w:r>
              <w:rPr>
                <w:rFonts w:ascii="Palatino Linotype" w:hAnsi="Palatino Linotype" w:cs="Calibri"/>
                <w:spacing w:val="-1"/>
                <w:szCs w:val="16"/>
                <w:lang w:val="en-US" w:eastAsia="id-ID"/>
              </w:rPr>
              <w:t xml:space="preserve">, </w:t>
            </w:r>
            <w:hyperlink r:id="rId9" w:history="1">
              <w:r w:rsidR="006A7AB2">
                <w:rPr>
                  <w:rStyle w:val="Hyperlink"/>
                  <w:rFonts w:ascii="Palatino Linotype" w:hAnsi="Palatino Linotype" w:cs="Calibri"/>
                  <w:spacing w:val="-1"/>
                  <w:szCs w:val="16"/>
                  <w:lang w:eastAsia="id-ID"/>
                </w:rPr>
                <w:t>https://creativecommons.org/licenses/by-sa/4.0/</w:t>
              </w:r>
            </w:hyperlink>
            <w:r>
              <w:rPr>
                <w:rFonts w:ascii="Palatino Linotype" w:hAnsi="Palatino Linotype" w:cs="Calibri"/>
                <w:spacing w:val="-1"/>
                <w:szCs w:val="16"/>
                <w:lang w:eastAsia="id-ID"/>
              </w:rPr>
              <w:t>.</w:t>
            </w:r>
          </w:p>
        </w:tc>
      </w:tr>
    </w:tbl>
    <w:p w14:paraId="69D67EAF" w14:textId="77777777" w:rsidR="00561A2C" w:rsidRPr="00561A2C" w:rsidRDefault="00561A2C" w:rsidP="00561A2C">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p>
    <w:p w14:paraId="64C6E4CD" w14:textId="77777777" w:rsidR="00A36355" w:rsidRPr="006B7949" w:rsidRDefault="00000000" w:rsidP="009058AC">
      <w:pPr>
        <w:pStyle w:val="ListParagraph"/>
        <w:adjustRightInd w:val="0"/>
        <w:snapToGrid w:val="0"/>
        <w:spacing w:before="240" w:after="120" w:line="276" w:lineRule="auto"/>
        <w:ind w:left="0"/>
        <w:outlineLvl w:val="0"/>
        <w:rPr>
          <w:rFonts w:ascii="Palatino Linotype" w:hAnsi="Palatino Linotype"/>
          <w:b/>
          <w:snapToGrid w:val="0"/>
          <w:color w:val="000000"/>
          <w:szCs w:val="28"/>
          <w:lang w:eastAsia="zh-CN" w:bidi="en-US"/>
        </w:rPr>
      </w:pPr>
      <w:r w:rsidRPr="006B7949">
        <w:rPr>
          <w:rFonts w:ascii="Palatino Linotype" w:hAnsi="Palatino Linotype"/>
          <w:b/>
          <w:snapToGrid w:val="0"/>
          <w:color w:val="000000"/>
          <w:szCs w:val="28"/>
          <w:lang w:eastAsia="zh-CN" w:bidi="en-US"/>
        </w:rPr>
        <w:t xml:space="preserve">INTRODUCTION </w:t>
      </w:r>
    </w:p>
    <w:p w14:paraId="3D447586" w14:textId="77777777" w:rsidR="00E21901" w:rsidRPr="00E21901" w:rsidRDefault="00000000" w:rsidP="00E21901">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E21901">
        <w:rPr>
          <w:rFonts w:ascii="Palatino Linotype" w:eastAsia="Times New Roman" w:hAnsi="Palatino Linotype"/>
          <w:snapToGrid w:val="0"/>
          <w:color w:val="000000"/>
          <w:spacing w:val="-2"/>
          <w:sz w:val="24"/>
          <w:szCs w:val="28"/>
          <w:lang w:val="en-US" w:eastAsia="de-DE" w:bidi="en-US"/>
        </w:rPr>
        <w:t>The emphasis on sustainability and corporate social responsibility (CSR) has intensified in the contemporary business environment, driven by growing stakeholder expectations and regulatory demands. As organizations strive to align their operations with sustainable practices, effective governance, risk management, and compliance (GRC) policies emerge as critical frameworks to support these objectives</w:t>
      </w:r>
      <w:r w:rsidR="00267C8B">
        <w:rPr>
          <w:rFonts w:ascii="Palatino Linotype" w:eastAsia="Times New Roman" w:hAnsi="Palatino Linotype"/>
          <w:snapToGrid w:val="0"/>
          <w:color w:val="000000"/>
          <w:spacing w:val="-2"/>
          <w:sz w:val="24"/>
          <w:szCs w:val="28"/>
          <w:lang w:val="en-US" w:eastAsia="de-DE" w:bidi="en-US"/>
        </w:rPr>
        <w:t xml:space="preserve"> </w:t>
      </w:r>
      <w:r w:rsidR="00267C8B">
        <w:rPr>
          <w:rFonts w:ascii="Palatino Linotype" w:eastAsia="Times New Roman" w:hAnsi="Palatino Linotype"/>
          <w:snapToGrid w:val="0"/>
          <w:color w:val="000000"/>
          <w:spacing w:val="-2"/>
          <w:sz w:val="24"/>
          <w:szCs w:val="28"/>
          <w:lang w:val="en-US" w:eastAsia="de-DE" w:bidi="en-US"/>
        </w:rPr>
        <w:fldChar w:fldCharType="begin" w:fldLock="1"/>
      </w:r>
      <w:r w:rsidR="003A65F3">
        <w:rPr>
          <w:rFonts w:ascii="Palatino Linotype" w:eastAsia="Times New Roman" w:hAnsi="Palatino Linotype"/>
          <w:snapToGrid w:val="0"/>
          <w:color w:val="000000"/>
          <w:spacing w:val="-2"/>
          <w:sz w:val="24"/>
          <w:szCs w:val="28"/>
          <w:lang w:val="en-US" w:eastAsia="de-DE" w:bidi="en-US"/>
        </w:rPr>
        <w:instrText>ADDIN CSL_CITATION {"citationItems":[{"id":"ITEM-1","itemData":{"ISSN":"0047-2336","author":[{"dropping-particle":"","family":"McGregor","given":"Katharine","non-dropping-particle":"","parse-names":false,"suffix":""},{"dropping-particle":"","family":"Setiawan","given":"Ken","non-dropping-particle":"","parse-names":false,"suffix":""}],"container-title":"Journal of Contemporary Asia","id":"ITEM-1","issue":"5","issued":{"date-parts":[["2019"]]},"page":"837-861","publisher":"Taylor &amp; Francis","title":"Shifting from international to “Indonesian” justice measures: Two decades of addressing past human rights violations","type":"article-journal","volume":"49"},"uris":["http://www.mendeley.com/documents/?uuid=cfac5d76-c4eb-4264-b8ae-edac9ea95b9a"]}],"mendeley":{"formattedCitation":"(McGregor &amp; Setiawan, 2019)","plainTextFormattedCitation":"(McGregor &amp; Setiawan, 2019)","previouslyFormattedCitation":"[1]"},"properties":{"noteIndex":0},"schema":"https://github.com/citation-style-language/schema/raw/master/csl-citation.json"}</w:instrText>
      </w:r>
      <w:r w:rsidR="00267C8B">
        <w:rPr>
          <w:rFonts w:ascii="Palatino Linotype" w:eastAsia="Times New Roman" w:hAnsi="Palatino Linotype"/>
          <w:snapToGrid w:val="0"/>
          <w:color w:val="000000"/>
          <w:spacing w:val="-2"/>
          <w:sz w:val="24"/>
          <w:szCs w:val="28"/>
          <w:lang w:val="en-US" w:eastAsia="de-DE" w:bidi="en-US"/>
        </w:rPr>
        <w:fldChar w:fldCharType="separate"/>
      </w:r>
      <w:r w:rsidR="003A65F3" w:rsidRPr="003A65F3">
        <w:rPr>
          <w:rFonts w:ascii="Palatino Linotype" w:eastAsia="Times New Roman" w:hAnsi="Palatino Linotype"/>
          <w:noProof/>
          <w:snapToGrid w:val="0"/>
          <w:color w:val="000000"/>
          <w:spacing w:val="-2"/>
          <w:sz w:val="24"/>
          <w:szCs w:val="28"/>
          <w:lang w:val="en-US" w:eastAsia="de-DE" w:bidi="en-US"/>
        </w:rPr>
        <w:t xml:space="preserve">(McGregor &amp; </w:t>
      </w:r>
      <w:r w:rsidR="003A65F3" w:rsidRPr="003A65F3">
        <w:rPr>
          <w:rFonts w:ascii="Palatino Linotype" w:eastAsia="Times New Roman" w:hAnsi="Palatino Linotype"/>
          <w:noProof/>
          <w:snapToGrid w:val="0"/>
          <w:color w:val="000000"/>
          <w:spacing w:val="-2"/>
          <w:sz w:val="24"/>
          <w:szCs w:val="28"/>
          <w:lang w:val="en-US" w:eastAsia="de-DE" w:bidi="en-US"/>
        </w:rPr>
        <w:lastRenderedPageBreak/>
        <w:t>Setiawan, 2019)</w:t>
      </w:r>
      <w:r w:rsidR="00267C8B">
        <w:rPr>
          <w:rFonts w:ascii="Palatino Linotype" w:eastAsia="Times New Roman" w:hAnsi="Palatino Linotype"/>
          <w:snapToGrid w:val="0"/>
          <w:color w:val="000000"/>
          <w:spacing w:val="-2"/>
          <w:sz w:val="24"/>
          <w:szCs w:val="28"/>
          <w:lang w:val="en-US" w:eastAsia="de-DE" w:bidi="en-US"/>
        </w:rPr>
        <w:fldChar w:fldCharType="end"/>
      </w:r>
      <w:r w:rsidRPr="00E21901">
        <w:rPr>
          <w:rFonts w:ascii="Palatino Linotype" w:eastAsia="Times New Roman" w:hAnsi="Palatino Linotype"/>
          <w:snapToGrid w:val="0"/>
          <w:color w:val="000000"/>
          <w:spacing w:val="-2"/>
          <w:sz w:val="24"/>
          <w:szCs w:val="28"/>
          <w:lang w:val="en-US" w:eastAsia="de-DE" w:bidi="en-US"/>
        </w:rPr>
        <w:t xml:space="preserve">. Integrating GRC practices into corporate strategies is essential for ensuring compliance with legal and ethical standards and fostering stakeholder trust and credibility </w:t>
      </w:r>
      <w:r w:rsidR="00267C8B">
        <w:rPr>
          <w:rFonts w:ascii="Palatino Linotype" w:eastAsia="Times New Roman" w:hAnsi="Palatino Linotype"/>
          <w:snapToGrid w:val="0"/>
          <w:color w:val="000000"/>
          <w:spacing w:val="-2"/>
          <w:sz w:val="24"/>
          <w:szCs w:val="28"/>
          <w:lang w:val="en-US" w:eastAsia="de-DE" w:bidi="en-US"/>
        </w:rPr>
        <w:fldChar w:fldCharType="begin" w:fldLock="1"/>
      </w:r>
      <w:r w:rsidR="003A65F3">
        <w:rPr>
          <w:rFonts w:ascii="Palatino Linotype" w:eastAsia="Times New Roman" w:hAnsi="Palatino Linotype"/>
          <w:snapToGrid w:val="0"/>
          <w:color w:val="000000"/>
          <w:spacing w:val="-2"/>
          <w:sz w:val="24"/>
          <w:szCs w:val="28"/>
          <w:lang w:val="en-US" w:eastAsia="de-DE" w:bidi="en-US"/>
        </w:rPr>
        <w:instrText>ADDIN CSL_CITATION {"citationItems":[{"id":"ITEM-1","itemData":{"ISBN":"9783832550431","abstract":"Intro -- Introduction -- (Wiesław Danielak) -- Values obtained from customer relationship management -- (Dorota Dolińska-Weryńska &amp; Piotr Weryński) -- The value of innovative brands of enterprises from MSME sector -- (Michał Igielski) -- Stimulating innovative attitudes of employees in modern enterprises -- (Magdalena Wysocka) -- Corporate social responsibility in family businesses -- (Justyna Rój) -- The importance of healthcare inequities in sustainable development -- (Katarzyna Chrobocińska) -- Innovative activities of small service companies (Małgorzata Lechwar, Małgorzata Leszczyńska &amp; Katarzyna Puchalska) -- Quality of life in the context of intelligent specialization -- a model for urban agglomeration -- (Monika Raczyńska) -- Analysis of enterprise innovation management in Poland -- (Angelika Matusik-Popławska) -- Startup as a form of innovation development in Poland -- (Magdalena Jarczok-Guzy) -- The impact of changes in tax regulations in 2019 on investment decisions of SME enterprises in Poland -- (Magdalena Wiercioch) -- Financing of innovative activities in the Podkarpackie Voivodeship in Poland","author":[{"dropping-particle":"","family":"Lis","given":"Marcin.","non-dropping-particle":"","parse-names":false,"suffix":""},{"dropping-particle":"","family":"Szyszka","given":"Michał.","non-dropping-particle":"","parse-names":false,"suffix":""}],"id":"ITEM-1","issued":{"date-parts":[["2020"]]},"number-of-pages":"1-134","publisher":"Logos Verlag Berlin","title":"Innovation and Entrepreneurship : Theory and Practice.","type":"book"},"uris":["http://www.mendeley.com/documents/?uuid=21ab864a-7023-435b-a14c-92abf1c23d3e"]}],"mendeley":{"formattedCitation":"(Lis &amp; Szyszka, 2020)","plainTextFormattedCitation":"(Lis &amp; Szyszka, 2020)","previouslyFormattedCitation":"[2]"},"properties":{"noteIndex":0},"schema":"https://github.com/citation-style-language/schema/raw/master/csl-citation.json"}</w:instrText>
      </w:r>
      <w:r w:rsidR="00267C8B">
        <w:rPr>
          <w:rFonts w:ascii="Palatino Linotype" w:eastAsia="Times New Roman" w:hAnsi="Palatino Linotype"/>
          <w:snapToGrid w:val="0"/>
          <w:color w:val="000000"/>
          <w:spacing w:val="-2"/>
          <w:sz w:val="24"/>
          <w:szCs w:val="28"/>
          <w:lang w:val="en-US" w:eastAsia="de-DE" w:bidi="en-US"/>
        </w:rPr>
        <w:fldChar w:fldCharType="separate"/>
      </w:r>
      <w:r w:rsidR="003A65F3" w:rsidRPr="003A65F3">
        <w:rPr>
          <w:rFonts w:ascii="Palatino Linotype" w:eastAsia="Times New Roman" w:hAnsi="Palatino Linotype"/>
          <w:noProof/>
          <w:snapToGrid w:val="0"/>
          <w:color w:val="000000"/>
          <w:spacing w:val="-2"/>
          <w:sz w:val="24"/>
          <w:szCs w:val="28"/>
          <w:lang w:val="en-US" w:eastAsia="de-DE" w:bidi="en-US"/>
        </w:rPr>
        <w:t>(Lis &amp; Szyszka, 2020)</w:t>
      </w:r>
      <w:r w:rsidR="00267C8B">
        <w:rPr>
          <w:rFonts w:ascii="Palatino Linotype" w:eastAsia="Times New Roman" w:hAnsi="Palatino Linotype"/>
          <w:snapToGrid w:val="0"/>
          <w:color w:val="000000"/>
          <w:spacing w:val="-2"/>
          <w:sz w:val="24"/>
          <w:szCs w:val="28"/>
          <w:lang w:val="en-US" w:eastAsia="de-DE" w:bidi="en-US"/>
        </w:rPr>
        <w:fldChar w:fldCharType="end"/>
      </w:r>
      <w:r w:rsidRPr="00E21901">
        <w:rPr>
          <w:rFonts w:ascii="Palatino Linotype" w:eastAsia="Times New Roman" w:hAnsi="Palatino Linotype"/>
          <w:snapToGrid w:val="0"/>
          <w:color w:val="000000"/>
          <w:spacing w:val="-2"/>
          <w:sz w:val="24"/>
          <w:szCs w:val="28"/>
          <w:lang w:val="en-US" w:eastAsia="de-DE" w:bidi="en-US"/>
        </w:rPr>
        <w:t>. This article evaluates the role of GRC policies in enhancing sustainability and CSR efforts within organizations, thereby contributing to a more sustainable future.</w:t>
      </w:r>
    </w:p>
    <w:p w14:paraId="065D627C" w14:textId="77777777" w:rsidR="00E21901" w:rsidRPr="00E21901" w:rsidRDefault="00000000" w:rsidP="00E21901">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E21901">
        <w:rPr>
          <w:rFonts w:ascii="Palatino Linotype" w:eastAsia="Times New Roman" w:hAnsi="Palatino Linotype"/>
          <w:snapToGrid w:val="0"/>
          <w:color w:val="000000"/>
          <w:spacing w:val="-2"/>
          <w:sz w:val="24"/>
          <w:szCs w:val="28"/>
          <w:lang w:val="en-US" w:eastAsia="de-DE" w:bidi="en-US"/>
        </w:rPr>
        <w:t>The increasing complexity of global markets and the rising prevalence of social and environmental issues necessitate a robust GRC framework. Organizations are often confronted with various challenges, including regulatory compliance, risk identification, mitigation, and transparent governance structures</w:t>
      </w:r>
      <w:r w:rsidR="00267C8B">
        <w:rPr>
          <w:rFonts w:ascii="Palatino Linotype" w:eastAsia="Times New Roman" w:hAnsi="Palatino Linotype"/>
          <w:snapToGrid w:val="0"/>
          <w:color w:val="000000"/>
          <w:spacing w:val="-2"/>
          <w:sz w:val="24"/>
          <w:szCs w:val="28"/>
          <w:lang w:val="en-US" w:eastAsia="de-DE" w:bidi="en-US"/>
        </w:rPr>
        <w:t xml:space="preserve"> </w:t>
      </w:r>
      <w:r w:rsidR="00267C8B">
        <w:rPr>
          <w:rFonts w:ascii="Palatino Linotype" w:eastAsia="Times New Roman" w:hAnsi="Palatino Linotype"/>
          <w:snapToGrid w:val="0"/>
          <w:color w:val="000000"/>
          <w:spacing w:val="-2"/>
          <w:sz w:val="24"/>
          <w:szCs w:val="28"/>
          <w:lang w:val="en-US" w:eastAsia="de-DE" w:bidi="en-US"/>
        </w:rPr>
        <w:fldChar w:fldCharType="begin" w:fldLock="1"/>
      </w:r>
      <w:r w:rsidR="003A65F3">
        <w:rPr>
          <w:rFonts w:ascii="Palatino Linotype" w:eastAsia="Times New Roman" w:hAnsi="Palatino Linotype"/>
          <w:snapToGrid w:val="0"/>
          <w:color w:val="000000"/>
          <w:spacing w:val="-2"/>
          <w:sz w:val="24"/>
          <w:szCs w:val="28"/>
          <w:lang w:val="en-US" w:eastAsia="de-DE" w:bidi="en-US"/>
        </w:rPr>
        <w:instrText>ADDIN CSL_CITATION {"citationItems":[{"id":"ITEM-1","itemData":{"ISSN":"2351-9894","author":[{"dropping-particle":"","family":"D’Cruze","given":"Neil","non-dropping-particle":"","parse-names":false,"suffix":""},{"dropping-particle":"","family":"Galarza","given":"Fidel Ernesto Rodriguez","non-dropping-particle":"","parse-names":false,"suffix":""},{"dropping-particle":"","family":"Broche","given":"Osmany","non-dropping-particle":"","parse-names":false,"suffix":""},{"dropping-particle":"","family":"Bizri","given":"Hani R","non-dropping-particle":"El","parse-names":false,"suffix":""},{"dropping-particle":"","family":"Megson","given":"Steven","non-dropping-particle":"","parse-names":false,"suffix":""},{"dropping-particle":"","family":"Elwin","given":"Angie","non-dropping-particle":"","parse-names":false,"suffix":""},{"dropping-particle":"","family":"Machado","given":"Fernando Carniel","non-dropping-particle":"","parse-names":false,"suffix":""},{"dropping-particle":"","family":"Norrey","given":"John","non-dropping-particle":"","parse-names":false,"suffix":""},{"dropping-particle":"","family":"Coulthard","given":"Emma","non-dropping-particle":"","parse-names":false,"suffix":""},{"dropping-particle":"","family":"Megson","given":"David","non-dropping-particle":"","parse-names":false,"suffix":""}],"container-title":"Global Ecology and Conservation","id":"ITEM-1","issued":{"date-parts":[["2021"]]},"page":"e01631","publisher":"Elsevier","title":"Characterizing trade at the largest wildlife market of Amazonian Peru","type":"article-journal","volume":"28"},"uris":["http://www.mendeley.com/documents/?uuid=a9d9808e-9701-4b53-8687-aac336135114"]}],"mendeley":{"formattedCitation":"(D’Cruze et al., 2021)","plainTextFormattedCitation":"(D’Cruze et al., 2021)","previouslyFormattedCitation":"[3]"},"properties":{"noteIndex":0},"schema":"https://github.com/citation-style-language/schema/raw/master/csl-citation.json"}</w:instrText>
      </w:r>
      <w:r w:rsidR="00267C8B">
        <w:rPr>
          <w:rFonts w:ascii="Palatino Linotype" w:eastAsia="Times New Roman" w:hAnsi="Palatino Linotype"/>
          <w:snapToGrid w:val="0"/>
          <w:color w:val="000000"/>
          <w:spacing w:val="-2"/>
          <w:sz w:val="24"/>
          <w:szCs w:val="28"/>
          <w:lang w:val="en-US" w:eastAsia="de-DE" w:bidi="en-US"/>
        </w:rPr>
        <w:fldChar w:fldCharType="separate"/>
      </w:r>
      <w:r w:rsidR="003A65F3" w:rsidRPr="003A65F3">
        <w:rPr>
          <w:rFonts w:ascii="Palatino Linotype" w:eastAsia="Times New Roman" w:hAnsi="Palatino Linotype"/>
          <w:noProof/>
          <w:snapToGrid w:val="0"/>
          <w:color w:val="000000"/>
          <w:spacing w:val="-2"/>
          <w:sz w:val="24"/>
          <w:szCs w:val="28"/>
          <w:lang w:val="en-US" w:eastAsia="de-DE" w:bidi="en-US"/>
        </w:rPr>
        <w:t>(D’Cruze et al., 2021)</w:t>
      </w:r>
      <w:r w:rsidR="00267C8B">
        <w:rPr>
          <w:rFonts w:ascii="Palatino Linotype" w:eastAsia="Times New Roman" w:hAnsi="Palatino Linotype"/>
          <w:snapToGrid w:val="0"/>
          <w:color w:val="000000"/>
          <w:spacing w:val="-2"/>
          <w:sz w:val="24"/>
          <w:szCs w:val="28"/>
          <w:lang w:val="en-US" w:eastAsia="de-DE" w:bidi="en-US"/>
        </w:rPr>
        <w:fldChar w:fldCharType="end"/>
      </w:r>
      <w:r w:rsidRPr="00E21901">
        <w:rPr>
          <w:rFonts w:ascii="Palatino Linotype" w:eastAsia="Times New Roman" w:hAnsi="Palatino Linotype"/>
          <w:snapToGrid w:val="0"/>
          <w:color w:val="000000"/>
          <w:spacing w:val="-2"/>
          <w:sz w:val="24"/>
          <w:szCs w:val="28"/>
          <w:lang w:val="en-US" w:eastAsia="de-DE" w:bidi="en-US"/>
        </w:rPr>
        <w:t>. However, the implementation of GRC policies could be more consistent, leading to potential gaps in sustainability and CSR initiatives. These challenges highlight the need to thoroughly evaluate existing GRC policies to ascertain their effectiveness in supporting organizational sustainability goals</w:t>
      </w:r>
      <w:r w:rsidR="00267C8B">
        <w:rPr>
          <w:rFonts w:ascii="Palatino Linotype" w:eastAsia="Times New Roman" w:hAnsi="Palatino Linotype"/>
          <w:snapToGrid w:val="0"/>
          <w:color w:val="000000"/>
          <w:spacing w:val="-2"/>
          <w:sz w:val="24"/>
          <w:szCs w:val="28"/>
          <w:lang w:val="en-US" w:eastAsia="de-DE" w:bidi="en-US"/>
        </w:rPr>
        <w:t xml:space="preserve"> </w:t>
      </w:r>
      <w:r w:rsidR="00267C8B">
        <w:rPr>
          <w:rFonts w:ascii="Palatino Linotype" w:eastAsia="Times New Roman" w:hAnsi="Palatino Linotype"/>
          <w:snapToGrid w:val="0"/>
          <w:color w:val="000000"/>
          <w:spacing w:val="-2"/>
          <w:sz w:val="24"/>
          <w:szCs w:val="28"/>
          <w:lang w:val="en-US" w:eastAsia="de-DE" w:bidi="en-US"/>
        </w:rPr>
        <w:fldChar w:fldCharType="begin" w:fldLock="1"/>
      </w:r>
      <w:r w:rsidR="003A65F3">
        <w:rPr>
          <w:rFonts w:ascii="Palatino Linotype" w:eastAsia="Times New Roman" w:hAnsi="Palatino Linotype"/>
          <w:snapToGrid w:val="0"/>
          <w:color w:val="000000"/>
          <w:spacing w:val="-2"/>
          <w:sz w:val="24"/>
          <w:szCs w:val="28"/>
          <w:lang w:val="en-US" w:eastAsia="de-DE" w:bidi="en-US"/>
        </w:rPr>
        <w:instrText>ADDIN CSL_CITATION {"citationItems":[{"id":"ITEM-1","itemData":{"DOI":"10.14710/jsp.2021.12027","abstract":"When adopting the zero waste strategy for the implementation of waste management measures at a Higher Education Institution, the commitment in the institution is of fundamental importance, not only with solid waste, but with the sustainability issue under a circular economy perspective, which should gradually be incorporated to the different programs and routine actions from universities. Several directions can be taken in the construction of this path so that universities are managed under the sustainability’s premises. In this article, the zero waste strategy for implementation of a circular economy program will be analyzed as a way to consolidate the process Green Campus. A qualitative and exploratory research was undertaken on green campus and zero waste strategies, mainly in universities. Although there is still a limited number of universities committed to zero waste actions, it was possible to appoint the benefits when implementing institutional programs related to sustainability and the fulfillment of the Sustainable Development Goals.","author":[{"dropping-particle":"","family":"Ap. Moreira","given":"Gislaine","non-dropping-particle":"","parse-names":false,"suffix":""},{"dropping-particle":"","family":"Wanda Rutkoskwi","given":"Emilia","non-dropping-particle":"","parse-names":false,"suffix":""}],"container-title":"Journal of Sustainability Perspectives","id":"ITEM-1","issued":{"date-parts":[["2021"]]},"page":"367-373","title":"Zero Waste Strategy for a Green Campus","type":"article-journal","volume":"1"},"uris":["http://www.mendeley.com/documents/?uuid=7f4c068f-b6f9-49b4-a1c4-c5b84dc19b49"]}],"mendeley":{"formattedCitation":"(Ap. Moreira &amp; Wanda Rutkoskwi, 2021)","plainTextFormattedCitation":"(Ap. Moreira &amp; Wanda Rutkoskwi, 2021)","previouslyFormattedCitation":"[4]"},"properties":{"noteIndex":0},"schema":"https://github.com/citation-style-language/schema/raw/master/csl-citation.json"}</w:instrText>
      </w:r>
      <w:r w:rsidR="00267C8B">
        <w:rPr>
          <w:rFonts w:ascii="Palatino Linotype" w:eastAsia="Times New Roman" w:hAnsi="Palatino Linotype"/>
          <w:snapToGrid w:val="0"/>
          <w:color w:val="000000"/>
          <w:spacing w:val="-2"/>
          <w:sz w:val="24"/>
          <w:szCs w:val="28"/>
          <w:lang w:val="en-US" w:eastAsia="de-DE" w:bidi="en-US"/>
        </w:rPr>
        <w:fldChar w:fldCharType="separate"/>
      </w:r>
      <w:r w:rsidR="003A65F3" w:rsidRPr="003A65F3">
        <w:rPr>
          <w:rFonts w:ascii="Palatino Linotype" w:eastAsia="Times New Roman" w:hAnsi="Palatino Linotype"/>
          <w:noProof/>
          <w:snapToGrid w:val="0"/>
          <w:color w:val="000000"/>
          <w:spacing w:val="-2"/>
          <w:sz w:val="24"/>
          <w:szCs w:val="28"/>
          <w:lang w:val="en-US" w:eastAsia="de-DE" w:bidi="en-US"/>
        </w:rPr>
        <w:t>(Ap. Moreira &amp; Wanda Rutkoskwi, 2021)</w:t>
      </w:r>
      <w:r w:rsidR="00267C8B">
        <w:rPr>
          <w:rFonts w:ascii="Palatino Linotype" w:eastAsia="Times New Roman" w:hAnsi="Palatino Linotype"/>
          <w:snapToGrid w:val="0"/>
          <w:color w:val="000000"/>
          <w:spacing w:val="-2"/>
          <w:sz w:val="24"/>
          <w:szCs w:val="28"/>
          <w:lang w:val="en-US" w:eastAsia="de-DE" w:bidi="en-US"/>
        </w:rPr>
        <w:fldChar w:fldCharType="end"/>
      </w:r>
      <w:r w:rsidRPr="00E21901">
        <w:rPr>
          <w:rFonts w:ascii="Palatino Linotype" w:eastAsia="Times New Roman" w:hAnsi="Palatino Linotype"/>
          <w:snapToGrid w:val="0"/>
          <w:color w:val="000000"/>
          <w:spacing w:val="-2"/>
          <w:sz w:val="24"/>
          <w:szCs w:val="28"/>
          <w:lang w:val="en-US" w:eastAsia="de-DE" w:bidi="en-US"/>
        </w:rPr>
        <w:t>.</w:t>
      </w:r>
    </w:p>
    <w:p w14:paraId="4797E97E" w14:textId="77777777" w:rsidR="00E21901" w:rsidRPr="00E21901" w:rsidRDefault="00000000" w:rsidP="00E21901">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E21901">
        <w:rPr>
          <w:rFonts w:ascii="Palatino Linotype" w:eastAsia="Times New Roman" w:hAnsi="Palatino Linotype"/>
          <w:snapToGrid w:val="0"/>
          <w:color w:val="000000"/>
          <w:spacing w:val="-2"/>
          <w:sz w:val="24"/>
          <w:szCs w:val="28"/>
          <w:lang w:val="en-US" w:eastAsia="de-DE" w:bidi="en-US"/>
        </w:rPr>
        <w:t>One unique aspect of this evaluation is exploring how GRC policies can be tailored to address different industries' specific sustainability challenges. The diversity of business sectors presents distinct risks and opportunities, necessitating a nuanced approach to GRC implementation</w:t>
      </w:r>
      <w:r w:rsidR="00267C8B">
        <w:rPr>
          <w:rFonts w:ascii="Palatino Linotype" w:eastAsia="Times New Roman" w:hAnsi="Palatino Linotype"/>
          <w:snapToGrid w:val="0"/>
          <w:color w:val="000000"/>
          <w:spacing w:val="-2"/>
          <w:sz w:val="24"/>
          <w:szCs w:val="28"/>
          <w:lang w:val="en-US" w:eastAsia="de-DE" w:bidi="en-US"/>
        </w:rPr>
        <w:t xml:space="preserve"> </w:t>
      </w:r>
      <w:r w:rsidR="00267C8B">
        <w:rPr>
          <w:rFonts w:ascii="Palatino Linotype" w:eastAsia="Times New Roman" w:hAnsi="Palatino Linotype"/>
          <w:snapToGrid w:val="0"/>
          <w:color w:val="000000"/>
          <w:spacing w:val="-2"/>
          <w:sz w:val="24"/>
          <w:szCs w:val="28"/>
          <w:lang w:val="en-US" w:eastAsia="de-DE" w:bidi="en-US"/>
        </w:rPr>
        <w:fldChar w:fldCharType="begin" w:fldLock="1"/>
      </w:r>
      <w:r w:rsidR="003A65F3">
        <w:rPr>
          <w:rFonts w:ascii="Palatino Linotype" w:eastAsia="Times New Roman" w:hAnsi="Palatino Linotype"/>
          <w:snapToGrid w:val="0"/>
          <w:color w:val="000000"/>
          <w:spacing w:val="-2"/>
          <w:sz w:val="24"/>
          <w:szCs w:val="28"/>
          <w:lang w:val="en-US" w:eastAsia="de-DE" w:bidi="en-US"/>
        </w:rPr>
        <w:instrText>ADDIN CSL_CITATION {"citationItems":[{"id":"ITEM-1","itemData":{"ISSN":"2666-1659","author":[{"dropping-particle":"","family":"Bibri","given":"Simon Elias","non-dropping-particle":"","parse-names":false,"suffix":""},{"dropping-particle":"","family":"Krogstie","given":"John","non-dropping-particle":"","parse-names":false,"suffix":""},{"dropping-particle":"","family":"Kärrholm","given":"Mattias","non-dropping-particle":"","parse-names":false,"suffix":""}],"container-title":"Developments in the built environment","id":"ITEM-1","issued":{"date-parts":[["2020"]]},"page":"100021","publisher":"Elsevier","title":"Compact city planning and development: Emerging practices and strategies for achieving the goals of sustainability","type":"article-journal","volume":"4"},"uris":["http://www.mendeley.com/documents/?uuid=28388c95-83cc-4004-a7e3-8a44e2a05ca2"]}],"mendeley":{"formattedCitation":"(Bibri et al., 2020)","plainTextFormattedCitation":"(Bibri et al., 2020)","previouslyFormattedCitation":"[5]"},"properties":{"noteIndex":0},"schema":"https://github.com/citation-style-language/schema/raw/master/csl-citation.json"}</w:instrText>
      </w:r>
      <w:r w:rsidR="00267C8B">
        <w:rPr>
          <w:rFonts w:ascii="Palatino Linotype" w:eastAsia="Times New Roman" w:hAnsi="Palatino Linotype"/>
          <w:snapToGrid w:val="0"/>
          <w:color w:val="000000"/>
          <w:spacing w:val="-2"/>
          <w:sz w:val="24"/>
          <w:szCs w:val="28"/>
          <w:lang w:val="en-US" w:eastAsia="de-DE" w:bidi="en-US"/>
        </w:rPr>
        <w:fldChar w:fldCharType="separate"/>
      </w:r>
      <w:r w:rsidR="003A65F3" w:rsidRPr="003A65F3">
        <w:rPr>
          <w:rFonts w:ascii="Palatino Linotype" w:eastAsia="Times New Roman" w:hAnsi="Palatino Linotype"/>
          <w:noProof/>
          <w:snapToGrid w:val="0"/>
          <w:color w:val="000000"/>
          <w:spacing w:val="-2"/>
          <w:sz w:val="24"/>
          <w:szCs w:val="28"/>
          <w:lang w:val="en-US" w:eastAsia="de-DE" w:bidi="en-US"/>
        </w:rPr>
        <w:t>(Bibri et al., 2020)</w:t>
      </w:r>
      <w:r w:rsidR="00267C8B">
        <w:rPr>
          <w:rFonts w:ascii="Palatino Linotype" w:eastAsia="Times New Roman" w:hAnsi="Palatino Linotype"/>
          <w:snapToGrid w:val="0"/>
          <w:color w:val="000000"/>
          <w:spacing w:val="-2"/>
          <w:sz w:val="24"/>
          <w:szCs w:val="28"/>
          <w:lang w:val="en-US" w:eastAsia="de-DE" w:bidi="en-US"/>
        </w:rPr>
        <w:fldChar w:fldCharType="end"/>
      </w:r>
      <w:r w:rsidRPr="00E21901">
        <w:rPr>
          <w:rFonts w:ascii="Palatino Linotype" w:eastAsia="Times New Roman" w:hAnsi="Palatino Linotype"/>
          <w:snapToGrid w:val="0"/>
          <w:color w:val="000000"/>
          <w:spacing w:val="-2"/>
          <w:sz w:val="24"/>
          <w:szCs w:val="28"/>
          <w:lang w:val="en-US" w:eastAsia="de-DE" w:bidi="en-US"/>
        </w:rPr>
        <w:t>. For instance, industries such as manufacturing may encounter significant environmental risks, while the financial sector may face heightened scrutiny regarding social equity and governance</w:t>
      </w:r>
      <w:r w:rsidR="00267C8B">
        <w:rPr>
          <w:rFonts w:ascii="Palatino Linotype" w:eastAsia="Times New Roman" w:hAnsi="Palatino Linotype"/>
          <w:snapToGrid w:val="0"/>
          <w:color w:val="000000"/>
          <w:spacing w:val="-2"/>
          <w:sz w:val="24"/>
          <w:szCs w:val="28"/>
          <w:lang w:val="en-US" w:eastAsia="de-DE" w:bidi="en-US"/>
        </w:rPr>
        <w:t xml:space="preserve"> </w:t>
      </w:r>
      <w:r w:rsidR="00267C8B">
        <w:rPr>
          <w:rFonts w:ascii="Palatino Linotype" w:eastAsia="Times New Roman" w:hAnsi="Palatino Linotype"/>
          <w:snapToGrid w:val="0"/>
          <w:color w:val="000000"/>
          <w:spacing w:val="-2"/>
          <w:sz w:val="24"/>
          <w:szCs w:val="28"/>
          <w:lang w:val="en-US" w:eastAsia="de-DE" w:bidi="en-US"/>
        </w:rPr>
        <w:fldChar w:fldCharType="begin" w:fldLock="1"/>
      </w:r>
      <w:r w:rsidR="003A65F3">
        <w:rPr>
          <w:rFonts w:ascii="Palatino Linotype" w:eastAsia="Times New Roman" w:hAnsi="Palatino Linotype"/>
          <w:snapToGrid w:val="0"/>
          <w:color w:val="000000"/>
          <w:spacing w:val="-2"/>
          <w:sz w:val="24"/>
          <w:szCs w:val="28"/>
          <w:lang w:val="en-US" w:eastAsia="de-DE" w:bidi="en-US"/>
        </w:rPr>
        <w:instrText>ADDIN CSL_CITATION {"citationItems":[{"id":"ITEM-1","itemData":{"ISSN":"0959-6526","author":[{"dropping-particle":"","family":"Leal Filho","given":"Walter","non-dropping-particle":"","parse-names":false,"suffix":""},{"dropping-particle":"","family":"Shiel","given":"Chris","non-dropping-particle":"","parse-names":false,"suffix":""},{"dropping-particle":"","family":"Paço","given":"Arminda","non-dropping-particle":"","parse-names":false,"suffix":""},{"dropping-particle":"","family":"Mifsud","given":"Mark","non-dropping-particle":"","parse-names":false,"suffix":""},{"dropping-particle":"","family":"Ávila","given":"Lucas Veiga","non-dropping-particle":"","parse-names":false,"suffix":""},{"dropping-particle":"","family":"Brandli","given":"Luciana Londero","non-dropping-particle":"","parse-names":false,"suffix":""},{"dropping-particle":"","family":"Molthan-Hill","given":"Petra","non-dropping-particle":"","parse-names":false,"suffix":""},{"dropping-particle":"","family":"Pace","given":"Paul","non-dropping-particle":"","parse-names":false,"suffix":""},{"dropping-particle":"","family":"Azeiteiro","given":"Ulisses M","non-dropping-particle":"","parse-names":false,"suffix":""},{"dropping-particle":"","family":"Vargas","given":"Valeria Ruiz","non-dropping-particle":"","parse-names":false,"suffix":""}],"container-title":"Journal of Cleaner Production","id":"ITEM-1","issued":{"date-parts":[["2019"]]},"page":"285-294","publisher":"Elsevier","title":"Sustainable Development Goals and sustainability teaching at universities: Falling behind or getting ahead of the pack?","type":"article-journal","volume":"232"},"uris":["http://www.mendeley.com/documents/?uuid=f13809ee-fa6f-4569-8432-3a6e60c0270a"]}],"mendeley":{"formattedCitation":"(Leal Filho et al., 2019)","plainTextFormattedCitation":"(Leal Filho et al., 2019)","previouslyFormattedCitation":"[6]"},"properties":{"noteIndex":0},"schema":"https://github.com/citation-style-language/schema/raw/master/csl-citation.json"}</w:instrText>
      </w:r>
      <w:r w:rsidR="00267C8B">
        <w:rPr>
          <w:rFonts w:ascii="Palatino Linotype" w:eastAsia="Times New Roman" w:hAnsi="Palatino Linotype"/>
          <w:snapToGrid w:val="0"/>
          <w:color w:val="000000"/>
          <w:spacing w:val="-2"/>
          <w:sz w:val="24"/>
          <w:szCs w:val="28"/>
          <w:lang w:val="en-US" w:eastAsia="de-DE" w:bidi="en-US"/>
        </w:rPr>
        <w:fldChar w:fldCharType="separate"/>
      </w:r>
      <w:r w:rsidR="003A65F3" w:rsidRPr="003A65F3">
        <w:rPr>
          <w:rFonts w:ascii="Palatino Linotype" w:eastAsia="Times New Roman" w:hAnsi="Palatino Linotype"/>
          <w:noProof/>
          <w:snapToGrid w:val="0"/>
          <w:color w:val="000000"/>
          <w:spacing w:val="-2"/>
          <w:sz w:val="24"/>
          <w:szCs w:val="28"/>
          <w:lang w:val="en-US" w:eastAsia="de-DE" w:bidi="en-US"/>
        </w:rPr>
        <w:t>(Leal Filho et al., 2019)</w:t>
      </w:r>
      <w:r w:rsidR="00267C8B">
        <w:rPr>
          <w:rFonts w:ascii="Palatino Linotype" w:eastAsia="Times New Roman" w:hAnsi="Palatino Linotype"/>
          <w:snapToGrid w:val="0"/>
          <w:color w:val="000000"/>
          <w:spacing w:val="-2"/>
          <w:sz w:val="24"/>
          <w:szCs w:val="28"/>
          <w:lang w:val="en-US" w:eastAsia="de-DE" w:bidi="en-US"/>
        </w:rPr>
        <w:fldChar w:fldCharType="end"/>
      </w:r>
      <w:r w:rsidRPr="00E21901">
        <w:rPr>
          <w:rFonts w:ascii="Palatino Linotype" w:eastAsia="Times New Roman" w:hAnsi="Palatino Linotype"/>
          <w:snapToGrid w:val="0"/>
          <w:color w:val="000000"/>
          <w:spacing w:val="-2"/>
          <w:sz w:val="24"/>
          <w:szCs w:val="28"/>
          <w:lang w:val="en-US" w:eastAsia="de-DE" w:bidi="en-US"/>
        </w:rPr>
        <w:t>. By examining these industry-specific dynamics, this article seeks to provide insights into the best practices that can enhance the alignment of GRC frameworks with sustainability and CSR objectives.</w:t>
      </w:r>
    </w:p>
    <w:p w14:paraId="29E55453" w14:textId="77777777" w:rsidR="00E21901" w:rsidRPr="00E21901" w:rsidRDefault="00000000" w:rsidP="00E21901">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E21901">
        <w:rPr>
          <w:rFonts w:ascii="Palatino Linotype" w:eastAsia="Times New Roman" w:hAnsi="Palatino Linotype"/>
          <w:snapToGrid w:val="0"/>
          <w:color w:val="000000"/>
          <w:spacing w:val="-2"/>
          <w:sz w:val="24"/>
          <w:szCs w:val="28"/>
          <w:lang w:val="en-US" w:eastAsia="de-DE" w:bidi="en-US"/>
        </w:rPr>
        <w:t>Despite the acknowledged importance of GRC policies, there remains a notable gap in empirical research exploring their direct impact on sustainability and CSR outcomes</w:t>
      </w:r>
      <w:r w:rsidR="00267C8B">
        <w:rPr>
          <w:rFonts w:ascii="Palatino Linotype" w:eastAsia="Times New Roman" w:hAnsi="Palatino Linotype"/>
          <w:snapToGrid w:val="0"/>
          <w:color w:val="000000"/>
          <w:spacing w:val="-2"/>
          <w:sz w:val="24"/>
          <w:szCs w:val="28"/>
          <w:lang w:val="en-US" w:eastAsia="de-DE" w:bidi="en-US"/>
        </w:rPr>
        <w:t xml:space="preserve"> </w:t>
      </w:r>
      <w:r w:rsidR="00267C8B">
        <w:rPr>
          <w:rFonts w:ascii="Palatino Linotype" w:eastAsia="Times New Roman" w:hAnsi="Palatino Linotype"/>
          <w:snapToGrid w:val="0"/>
          <w:color w:val="000000"/>
          <w:spacing w:val="-2"/>
          <w:sz w:val="24"/>
          <w:szCs w:val="28"/>
          <w:lang w:val="en-US" w:eastAsia="de-DE" w:bidi="en-US"/>
        </w:rPr>
        <w:fldChar w:fldCharType="begin" w:fldLock="1"/>
      </w:r>
      <w:r w:rsidR="003A65F3">
        <w:rPr>
          <w:rFonts w:ascii="Palatino Linotype" w:eastAsia="Times New Roman" w:hAnsi="Palatino Linotype"/>
          <w:snapToGrid w:val="0"/>
          <w:color w:val="000000"/>
          <w:spacing w:val="-2"/>
          <w:sz w:val="24"/>
          <w:szCs w:val="28"/>
          <w:lang w:val="en-US" w:eastAsia="de-DE" w:bidi="en-US"/>
        </w:rPr>
        <w:instrText>ADDIN CSL_CITATION {"citationItems":[{"id":"ITEM-1","itemData":{"DOI":"10.13189/ujer.2019.071220","ISSN":"23323213","abstract":"This study seeks to analyze the implementation of public policies related to education as a result of the decentralization of education in Indonesia. This study focuses on the phenomenon of regional autonomy policy implementation, and how the model framework is in the implementation of education policy in the era of regional autonomy. Using a qualitative approach with a descriptive analytical method, the results of the study revealed that there are four main factors that need to be referenced in policy making and implementation of education policy in Indonesia. Specifically, the results of the study revealed that important considerations in the implementation of education were related to translation skills, human resource management capabilities, the number of implementers and accountability. By considering phenomena and problems arising from decentralization, the framework is considered to be in accordance with the reality of how education policies are implemented in Indonesia.","author":[{"dropping-particle":"","family":"Muhdi","given":"Muhdi","non-dropping-particle":"","parse-names":false,"suffix":""}],"container-title":"Universal Journal of Educational Research","id":"ITEM-1","issue":"12","issued":{"date-parts":[["2019"]]},"page":"2717-2728","publisher":"Horizon Research Publishing","title":"Framework for implementation of education policy in the perspective of education management in Indonesia","type":"article-journal","volume":"7"},"uris":["http://www.mendeley.com/documents/?uuid=4c0727df-2097-43fa-8363-fb5f74a2bc90"]}],"mendeley":{"formattedCitation":"(Muhdi, 2019)","plainTextFormattedCitation":"(Muhdi, 2019)","previouslyFormattedCitation":"[7]"},"properties":{"noteIndex":0},"schema":"https://github.com/citation-style-language/schema/raw/master/csl-citation.json"}</w:instrText>
      </w:r>
      <w:r w:rsidR="00267C8B">
        <w:rPr>
          <w:rFonts w:ascii="Palatino Linotype" w:eastAsia="Times New Roman" w:hAnsi="Palatino Linotype"/>
          <w:snapToGrid w:val="0"/>
          <w:color w:val="000000"/>
          <w:spacing w:val="-2"/>
          <w:sz w:val="24"/>
          <w:szCs w:val="28"/>
          <w:lang w:val="en-US" w:eastAsia="de-DE" w:bidi="en-US"/>
        </w:rPr>
        <w:fldChar w:fldCharType="separate"/>
      </w:r>
      <w:r w:rsidR="003A65F3" w:rsidRPr="003A65F3">
        <w:rPr>
          <w:rFonts w:ascii="Palatino Linotype" w:eastAsia="Times New Roman" w:hAnsi="Palatino Linotype"/>
          <w:noProof/>
          <w:snapToGrid w:val="0"/>
          <w:color w:val="000000"/>
          <w:spacing w:val="-2"/>
          <w:sz w:val="24"/>
          <w:szCs w:val="28"/>
          <w:lang w:val="en-US" w:eastAsia="de-DE" w:bidi="en-US"/>
        </w:rPr>
        <w:t>(Muhdi, 2019)</w:t>
      </w:r>
      <w:r w:rsidR="00267C8B">
        <w:rPr>
          <w:rFonts w:ascii="Palatino Linotype" w:eastAsia="Times New Roman" w:hAnsi="Palatino Linotype"/>
          <w:snapToGrid w:val="0"/>
          <w:color w:val="000000"/>
          <w:spacing w:val="-2"/>
          <w:sz w:val="24"/>
          <w:szCs w:val="28"/>
          <w:lang w:val="en-US" w:eastAsia="de-DE" w:bidi="en-US"/>
        </w:rPr>
        <w:fldChar w:fldCharType="end"/>
      </w:r>
      <w:r w:rsidRPr="00E21901">
        <w:rPr>
          <w:rFonts w:ascii="Palatino Linotype" w:eastAsia="Times New Roman" w:hAnsi="Palatino Linotype"/>
          <w:snapToGrid w:val="0"/>
          <w:color w:val="000000"/>
          <w:spacing w:val="-2"/>
          <w:sz w:val="24"/>
          <w:szCs w:val="28"/>
          <w:lang w:val="en-US" w:eastAsia="de-DE" w:bidi="en-US"/>
        </w:rPr>
        <w:t>. While existing literature has extensively covered the individual components of GRC, more comprehensive studies need to be conducted to analyze their collective influence on sustainable business practices</w:t>
      </w:r>
      <w:r w:rsidR="00267C8B">
        <w:rPr>
          <w:rFonts w:ascii="Palatino Linotype" w:eastAsia="Times New Roman" w:hAnsi="Palatino Linotype"/>
          <w:snapToGrid w:val="0"/>
          <w:color w:val="000000"/>
          <w:spacing w:val="-2"/>
          <w:sz w:val="24"/>
          <w:szCs w:val="28"/>
          <w:lang w:val="en-US" w:eastAsia="de-DE" w:bidi="en-US"/>
        </w:rPr>
        <w:t xml:space="preserve"> </w:t>
      </w:r>
      <w:r w:rsidR="00267C8B">
        <w:rPr>
          <w:rFonts w:ascii="Palatino Linotype" w:eastAsia="Times New Roman" w:hAnsi="Palatino Linotype"/>
          <w:snapToGrid w:val="0"/>
          <w:color w:val="000000"/>
          <w:spacing w:val="-2"/>
          <w:sz w:val="24"/>
          <w:szCs w:val="28"/>
          <w:lang w:val="en-US" w:eastAsia="de-DE" w:bidi="en-US"/>
        </w:rPr>
        <w:fldChar w:fldCharType="begin" w:fldLock="1"/>
      </w:r>
      <w:r w:rsidR="003A65F3">
        <w:rPr>
          <w:rFonts w:ascii="Palatino Linotype" w:eastAsia="Times New Roman" w:hAnsi="Palatino Linotype"/>
          <w:snapToGrid w:val="0"/>
          <w:color w:val="000000"/>
          <w:spacing w:val="-2"/>
          <w:sz w:val="24"/>
          <w:szCs w:val="28"/>
          <w:lang w:val="en-US" w:eastAsia="de-DE" w:bidi="en-US"/>
        </w:rPr>
        <w:instrText>ADDIN CSL_CITATION {"citationItems":[{"id":"ITEM-1","itemData":{"ISSN":"2071-1050","author":[{"dropping-particle":"","family":"Rubio-Mozos","given":"Ernestina","non-dropping-particle":"","parse-names":false,"suffix":""},{"dropping-particle":"","family":"García-Muiña","given":"Fernando Enrique","non-dropping-particle":"","parse-names":false,"suffix":""},{"dropping-particle":"","family":"Fuentes-Moraleda","given":"Laura","non-dropping-particle":"","parse-names":false,"suffix":""}],"container-title":"Sustainability","id":"ITEM-1","issue":"20","issued":{"date-parts":[["2019"]]},"page":"5569","publisher":"MDPI","title":"Rethinking 21st-century businesses: An approach to fourth sector SMEs in their transition to a sustainable model committed to SDGs","type":"article-journal","volume":"11"},"uris":["http://www.mendeley.com/documents/?uuid=9554443a-5b55-417a-9c25-d2745505ac1a"]}],"mendeley":{"formattedCitation":"(Rubio-Mozos et al., 2019)","plainTextFormattedCitation":"(Rubio-Mozos et al., 2019)","previouslyFormattedCitation":"[8]"},"properties":{"noteIndex":0},"schema":"https://github.com/citation-style-language/schema/raw/master/csl-citation.json"}</w:instrText>
      </w:r>
      <w:r w:rsidR="00267C8B">
        <w:rPr>
          <w:rFonts w:ascii="Palatino Linotype" w:eastAsia="Times New Roman" w:hAnsi="Palatino Linotype"/>
          <w:snapToGrid w:val="0"/>
          <w:color w:val="000000"/>
          <w:spacing w:val="-2"/>
          <w:sz w:val="24"/>
          <w:szCs w:val="28"/>
          <w:lang w:val="en-US" w:eastAsia="de-DE" w:bidi="en-US"/>
        </w:rPr>
        <w:fldChar w:fldCharType="separate"/>
      </w:r>
      <w:r w:rsidR="003A65F3" w:rsidRPr="003A65F3">
        <w:rPr>
          <w:rFonts w:ascii="Palatino Linotype" w:eastAsia="Times New Roman" w:hAnsi="Palatino Linotype"/>
          <w:noProof/>
          <w:snapToGrid w:val="0"/>
          <w:color w:val="000000"/>
          <w:spacing w:val="-2"/>
          <w:sz w:val="24"/>
          <w:szCs w:val="28"/>
          <w:lang w:val="en-US" w:eastAsia="de-DE" w:bidi="en-US"/>
        </w:rPr>
        <w:t>(Rubio-Mozos et al., 2019)</w:t>
      </w:r>
      <w:r w:rsidR="00267C8B">
        <w:rPr>
          <w:rFonts w:ascii="Palatino Linotype" w:eastAsia="Times New Roman" w:hAnsi="Palatino Linotype"/>
          <w:snapToGrid w:val="0"/>
          <w:color w:val="000000"/>
          <w:spacing w:val="-2"/>
          <w:sz w:val="24"/>
          <w:szCs w:val="28"/>
          <w:lang w:val="en-US" w:eastAsia="de-DE" w:bidi="en-US"/>
        </w:rPr>
        <w:fldChar w:fldCharType="end"/>
      </w:r>
      <w:r w:rsidRPr="00E21901">
        <w:rPr>
          <w:rFonts w:ascii="Palatino Linotype" w:eastAsia="Times New Roman" w:hAnsi="Palatino Linotype"/>
          <w:snapToGrid w:val="0"/>
          <w:color w:val="000000"/>
          <w:spacing w:val="-2"/>
          <w:sz w:val="24"/>
          <w:szCs w:val="28"/>
          <w:lang w:val="en-US" w:eastAsia="de-DE" w:bidi="en-US"/>
        </w:rPr>
        <w:t xml:space="preserve">. This gap presents an opportunity for further investigation, enabling organizations to refine their GRC strategies in a manner that genuinely promotes sustainability and CSR. </w:t>
      </w:r>
    </w:p>
    <w:p w14:paraId="5DE0CDEA" w14:textId="77777777" w:rsidR="00121E44" w:rsidRDefault="00000000" w:rsidP="00E21901">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E21901">
        <w:rPr>
          <w:rFonts w:ascii="Palatino Linotype" w:eastAsia="Times New Roman" w:hAnsi="Palatino Linotype"/>
          <w:snapToGrid w:val="0"/>
          <w:color w:val="000000"/>
          <w:spacing w:val="-2"/>
          <w:sz w:val="24"/>
          <w:szCs w:val="28"/>
          <w:lang w:val="en-US" w:eastAsia="de-DE" w:bidi="en-US"/>
        </w:rPr>
        <w:t>Moreover, the novelty of this research lies in its potential to contribute to the development of an integrated GRC model that prioritizes sustainability and CSR. By assessing the interrelationships between governance, risk management, and compliance, this study aims to offer practical recommendations for organizations seeking to enhance their GRC policies</w:t>
      </w:r>
      <w:r w:rsidR="00D740F9">
        <w:rPr>
          <w:rFonts w:ascii="Palatino Linotype" w:eastAsia="Times New Roman" w:hAnsi="Palatino Linotype"/>
          <w:snapToGrid w:val="0"/>
          <w:color w:val="000000"/>
          <w:spacing w:val="-2"/>
          <w:sz w:val="24"/>
          <w:szCs w:val="28"/>
          <w:lang w:val="en-US" w:eastAsia="de-DE" w:bidi="en-US"/>
        </w:rPr>
        <w:t xml:space="preserve"> </w:t>
      </w:r>
      <w:r w:rsidR="00D740F9">
        <w:rPr>
          <w:rFonts w:ascii="Palatino Linotype" w:eastAsia="Times New Roman" w:hAnsi="Palatino Linotype"/>
          <w:snapToGrid w:val="0"/>
          <w:color w:val="000000"/>
          <w:spacing w:val="-2"/>
          <w:sz w:val="24"/>
          <w:szCs w:val="28"/>
          <w:lang w:val="en-US" w:eastAsia="de-DE" w:bidi="en-US"/>
        </w:rPr>
        <w:fldChar w:fldCharType="begin" w:fldLock="1"/>
      </w:r>
      <w:r w:rsidR="003A65F3">
        <w:rPr>
          <w:rFonts w:ascii="Palatino Linotype" w:eastAsia="Times New Roman" w:hAnsi="Palatino Linotype"/>
          <w:snapToGrid w:val="0"/>
          <w:color w:val="000000"/>
          <w:spacing w:val="-2"/>
          <w:sz w:val="24"/>
          <w:szCs w:val="28"/>
          <w:lang w:val="en-US" w:eastAsia="de-DE" w:bidi="en-US"/>
        </w:rPr>
        <w:instrText>ADDIN CSL_CITATION {"citationItems":[{"id":"ITEM-1","itemData":{"DOI":"10.2965/jwet.19-037","ISSN":"13482165","abstract":"Drinking water refilling stations (DWRS) are a growing business, providing affordable drinking water for middle-low urban households in developing countries in the last two decades. However, quality control including water quality and compliance with regulations, is not fulfilled completely by all DWRS. This study aimed to assess water quality and risk of recontamination of DWRS and compliance with administrative-laboratory testing regulations and factors associated with it. A crosssectional study was conducted from March-August 2017 in Bandung City, and 229 of 659 DWRS were selected randomly. The water quality and risk of recontamination from refill gallons and outlet taps were examined using cotton swab and membrane filter methods to identify total coliforms/Escherichia coli. Compliance with administrative-laboratory testing regulations was identified based on the regulations of the Ministry of Health. Results found that water quality was unsuitable in 37.6% of drinking water and 34.1% of raw water. The risk of recontamination was found in 40% of refill gallons and 25.3% of outlet taps. Only 10.5% of DWRS complied with administrative-laboratory requirements. Factors associated with compliance were certified training and good management. An integrated system to manage and control the quality of DWRS is needed to prevent the consumption of nonstandardized drinking water.","author":[{"dropping-particle":"","family":"Sari","given":"Sri Yusnita Irda","non-dropping-particle":"","parse-names":false,"suffix":""},{"dropping-particle":"","family":"Faisal","given":"Muhamad","non-dropping-particle":"","parse-names":false,"suffix":""},{"dropping-particle":"","family":"Raksanagara","given":"Ardini Saptaningsih","non-dropping-particle":"","parse-names":false,"suffix":""},{"dropping-particle":"","family":"Agustian","given":"Dwi","non-dropping-particle":"","parse-names":false,"suffix":""},{"dropping-particle":"","family":"Rusmil","given":"Kusnandi","non-dropping-particle":"","parse-names":false,"suffix":""}],"container-title":"Journal of Water and Environment Technology","id":"ITEM-1","issue":"1","issued":{"date-parts":[["2020"]]},"page":"27-36","title":"Water quality and factors associated with compliance of drinking water refilling stations as a choice for middle-low urban households in developing countries","type":"article-journal","volume":"18"},"uris":["http://www.mendeley.com/documents/?uuid=cb17afb9-743b-4f54-bc98-c4cbede49384"]}],"mendeley":{"formattedCitation":"(Sari et al., 2020)","plainTextFormattedCitation":"(Sari et al., 2020)","previouslyFormattedCitation":"[9]"},"properties":{"noteIndex":0},"schema":"https://github.com/citation-style-language/schema/raw/master/csl-citation.json"}</w:instrText>
      </w:r>
      <w:r w:rsidR="00D740F9">
        <w:rPr>
          <w:rFonts w:ascii="Palatino Linotype" w:eastAsia="Times New Roman" w:hAnsi="Palatino Linotype"/>
          <w:snapToGrid w:val="0"/>
          <w:color w:val="000000"/>
          <w:spacing w:val="-2"/>
          <w:sz w:val="24"/>
          <w:szCs w:val="28"/>
          <w:lang w:val="en-US" w:eastAsia="de-DE" w:bidi="en-US"/>
        </w:rPr>
        <w:fldChar w:fldCharType="separate"/>
      </w:r>
      <w:r w:rsidR="003A65F3" w:rsidRPr="003A65F3">
        <w:rPr>
          <w:rFonts w:ascii="Palatino Linotype" w:eastAsia="Times New Roman" w:hAnsi="Palatino Linotype"/>
          <w:noProof/>
          <w:snapToGrid w:val="0"/>
          <w:color w:val="000000"/>
          <w:spacing w:val="-2"/>
          <w:sz w:val="24"/>
          <w:szCs w:val="28"/>
          <w:lang w:val="en-US" w:eastAsia="de-DE" w:bidi="en-US"/>
        </w:rPr>
        <w:t>(Sari et al., 2020)</w:t>
      </w:r>
      <w:r w:rsidR="00D740F9">
        <w:rPr>
          <w:rFonts w:ascii="Palatino Linotype" w:eastAsia="Times New Roman" w:hAnsi="Palatino Linotype"/>
          <w:snapToGrid w:val="0"/>
          <w:color w:val="000000"/>
          <w:spacing w:val="-2"/>
          <w:sz w:val="24"/>
          <w:szCs w:val="28"/>
          <w:lang w:val="en-US" w:eastAsia="de-DE" w:bidi="en-US"/>
        </w:rPr>
        <w:fldChar w:fldCharType="end"/>
      </w:r>
      <w:r w:rsidR="00D740F9">
        <w:rPr>
          <w:rFonts w:ascii="Palatino Linotype" w:eastAsia="Times New Roman" w:hAnsi="Palatino Linotype"/>
          <w:snapToGrid w:val="0"/>
          <w:color w:val="000000"/>
          <w:spacing w:val="-2"/>
          <w:sz w:val="24"/>
          <w:szCs w:val="28"/>
          <w:lang w:val="en-US" w:eastAsia="de-DE" w:bidi="en-US"/>
        </w:rPr>
        <w:t xml:space="preserve">; </w:t>
      </w:r>
      <w:r w:rsidR="00D740F9">
        <w:rPr>
          <w:rFonts w:ascii="Palatino Linotype" w:eastAsia="Times New Roman" w:hAnsi="Palatino Linotype"/>
          <w:snapToGrid w:val="0"/>
          <w:color w:val="000000"/>
          <w:spacing w:val="-2"/>
          <w:sz w:val="24"/>
          <w:szCs w:val="28"/>
          <w:lang w:val="en-US" w:eastAsia="de-DE" w:bidi="en-US"/>
        </w:rPr>
        <w:fldChar w:fldCharType="begin" w:fldLock="1"/>
      </w:r>
      <w:r w:rsidR="003A65F3">
        <w:rPr>
          <w:rFonts w:ascii="Palatino Linotype" w:eastAsia="Times New Roman" w:hAnsi="Palatino Linotype"/>
          <w:snapToGrid w:val="0"/>
          <w:color w:val="000000"/>
          <w:spacing w:val="-2"/>
          <w:sz w:val="24"/>
          <w:szCs w:val="28"/>
          <w:lang w:val="en-US" w:eastAsia="de-DE" w:bidi="en-US"/>
        </w:rPr>
        <w:instrText>ADDIN CSL_CITATION {"citationItems":[{"id":"ITEM-1","itemData":{"ISSN":"0143-2095","author":[{"dropping-particle":"","family":"Belderbos","given":"René","non-dropping-particle":"","parse-names":false,"suffix":""},{"dropping-particle":"","family":"Tong","given":"Tony W","non-dropping-particle":"","parse-names":false,"suffix":""},{"dropping-particle":"","family":"Wu","given":"Shubin","non-dropping-particle":"","parse-names":false,"suffix":""}],"container-title":"Strategic Management Journal","id":"ITEM-1","issue":"7","issued":{"date-parts":[["2020"]]},"page":"1191-1209","publisher":"Wiley Online Library","title":"Portfolio configuration and foreign entry decisions: A juxtaposition of real options and risk diversification theories","type":"article-journal","volume":"41"},"uris":["http://www.mendeley.com/documents/?uuid=4246ca46-54c3-478a-b6d5-ca345aa00afe"]}],"mendeley":{"formattedCitation":"(Belderbos et al., 2020)","plainTextFormattedCitation":"(Belderbos et al., 2020)","previouslyFormattedCitation":"[10]"},"properties":{"noteIndex":0},"schema":"https://github.com/citation-style-language/schema/raw/master/csl-citation.json"}</w:instrText>
      </w:r>
      <w:r w:rsidR="00D740F9">
        <w:rPr>
          <w:rFonts w:ascii="Palatino Linotype" w:eastAsia="Times New Roman" w:hAnsi="Palatino Linotype"/>
          <w:snapToGrid w:val="0"/>
          <w:color w:val="000000"/>
          <w:spacing w:val="-2"/>
          <w:sz w:val="24"/>
          <w:szCs w:val="28"/>
          <w:lang w:val="en-US" w:eastAsia="de-DE" w:bidi="en-US"/>
        </w:rPr>
        <w:fldChar w:fldCharType="separate"/>
      </w:r>
      <w:r w:rsidR="003A65F3" w:rsidRPr="003A65F3">
        <w:rPr>
          <w:rFonts w:ascii="Palatino Linotype" w:eastAsia="Times New Roman" w:hAnsi="Palatino Linotype"/>
          <w:noProof/>
          <w:snapToGrid w:val="0"/>
          <w:color w:val="000000"/>
          <w:spacing w:val="-2"/>
          <w:sz w:val="24"/>
          <w:szCs w:val="28"/>
          <w:lang w:val="en-US" w:eastAsia="de-DE" w:bidi="en-US"/>
        </w:rPr>
        <w:t>(Belderbos et al., 2020)</w:t>
      </w:r>
      <w:r w:rsidR="00D740F9">
        <w:rPr>
          <w:rFonts w:ascii="Palatino Linotype" w:eastAsia="Times New Roman" w:hAnsi="Palatino Linotype"/>
          <w:snapToGrid w:val="0"/>
          <w:color w:val="000000"/>
          <w:spacing w:val="-2"/>
          <w:sz w:val="24"/>
          <w:szCs w:val="28"/>
          <w:lang w:val="en-US" w:eastAsia="de-DE" w:bidi="en-US"/>
        </w:rPr>
        <w:fldChar w:fldCharType="end"/>
      </w:r>
      <w:r w:rsidRPr="00E21901">
        <w:rPr>
          <w:rFonts w:ascii="Palatino Linotype" w:eastAsia="Times New Roman" w:hAnsi="Palatino Linotype"/>
          <w:snapToGrid w:val="0"/>
          <w:color w:val="000000"/>
          <w:spacing w:val="-2"/>
          <w:sz w:val="24"/>
          <w:szCs w:val="28"/>
          <w:lang w:val="en-US" w:eastAsia="de-DE" w:bidi="en-US"/>
        </w:rPr>
        <w:t xml:space="preserve">. Ultimately, this evaluation not only aims to fill existing gaps in the literature but also </w:t>
      </w:r>
      <w:r w:rsidRPr="00E21901">
        <w:rPr>
          <w:rFonts w:ascii="Palatino Linotype" w:eastAsia="Times New Roman" w:hAnsi="Palatino Linotype"/>
          <w:snapToGrid w:val="0"/>
          <w:color w:val="000000"/>
          <w:spacing w:val="-2"/>
          <w:sz w:val="24"/>
          <w:szCs w:val="28"/>
          <w:lang w:val="en-US" w:eastAsia="de-DE" w:bidi="en-US"/>
        </w:rPr>
        <w:lastRenderedPageBreak/>
        <w:t>seeks to provide a roadmap for organizations committed to achieving their sustainability and CSR objectives through effective GRC practices.</w:t>
      </w:r>
    </w:p>
    <w:p w14:paraId="14487B14" w14:textId="77777777" w:rsidR="00E21901" w:rsidRPr="009058AC" w:rsidRDefault="00000000" w:rsidP="00E21901">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E21901">
        <w:rPr>
          <w:rFonts w:ascii="Palatino Linotype" w:eastAsia="Times New Roman" w:hAnsi="Palatino Linotype"/>
          <w:snapToGrid w:val="0"/>
          <w:color w:val="000000"/>
          <w:spacing w:val="-2"/>
          <w:sz w:val="24"/>
          <w:szCs w:val="28"/>
          <w:lang w:val="en-US" w:eastAsia="de-DE" w:bidi="en-US"/>
        </w:rPr>
        <w:t>The primary objective of this research is to evaluate the effectiveness of Governance, Risk Management, and Compliance (GRC) policies in supporting sustainability and corporate social responsibility (CSR) within various organizational contexts. The study aims to identify best practices and provide actionable insights for enhancing GRC frameworks that align with sustainability goals by analyzing the interplay between these three critical components. The findings of this research will benefit organizations by equipping them with a deeper understanding of how to implement and optimize GRC policies to address sustainability challenges and improve CSR initiatives. Additionally, this study will contribute to the academic literature by bridging existing gaps, offering a comprehensive perspective on the role of GRC in fostering sustainable business practices and promoting a culture of accountability and ethical conduct among organizations.</w:t>
      </w:r>
    </w:p>
    <w:p w14:paraId="3BA6656A" w14:textId="77777777" w:rsidR="00627989" w:rsidRPr="006B7949" w:rsidRDefault="00000000" w:rsidP="00DF6DDC">
      <w:pPr>
        <w:pStyle w:val="ListParagraph"/>
        <w:adjustRightInd w:val="0"/>
        <w:snapToGrid w:val="0"/>
        <w:spacing w:before="240" w:after="120" w:line="276" w:lineRule="auto"/>
        <w:ind w:left="0"/>
        <w:outlineLvl w:val="0"/>
        <w:rPr>
          <w:rFonts w:ascii="Palatino Linotype" w:eastAsia="Arial" w:hAnsi="Palatino Linotype"/>
          <w:b/>
          <w:bCs/>
        </w:rPr>
      </w:pPr>
      <w:r w:rsidRPr="00944E76">
        <w:rPr>
          <w:rFonts w:ascii="Palatino Linotype" w:hAnsi="Palatino Linotype"/>
          <w:b/>
          <w:snapToGrid w:val="0"/>
          <w:color w:val="000000"/>
          <w:szCs w:val="28"/>
          <w:lang w:eastAsia="zh-CN" w:bidi="en-US"/>
        </w:rPr>
        <w:t>METHODS</w:t>
      </w:r>
      <w:r w:rsidRPr="006B7949">
        <w:rPr>
          <w:rFonts w:ascii="Palatino Linotype" w:eastAsia="Arial" w:hAnsi="Palatino Linotype"/>
          <w:b/>
          <w:bCs/>
        </w:rPr>
        <w:t xml:space="preserve"> </w:t>
      </w:r>
    </w:p>
    <w:p w14:paraId="798D615B" w14:textId="77777777" w:rsidR="00E21901" w:rsidRPr="00E21901" w:rsidRDefault="00000000" w:rsidP="00E21901">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r w:rsidRPr="00E21901">
        <w:rPr>
          <w:rFonts w:ascii="Palatino Linotype" w:eastAsia="Times New Roman" w:hAnsi="Palatino Linotype"/>
          <w:snapToGrid w:val="0"/>
          <w:color w:val="000000"/>
          <w:spacing w:val="-2"/>
          <w:sz w:val="24"/>
          <w:szCs w:val="28"/>
          <w:lang w:val="en-US" w:eastAsia="de-DE" w:bidi="en-US"/>
        </w:rPr>
        <w:t>This research employs a mixed-methods approach to evaluate the effectiveness of Governance, Risk Management, and Compliance (GRC) policies in supporting sustainability and corporate social responsibility (CSR). Initially, a quantitative analysis will be conducted using a structured survey distributed to a diverse range of organizations across multiple industries</w:t>
      </w:r>
      <w:r w:rsidR="00D740F9">
        <w:rPr>
          <w:rFonts w:ascii="Palatino Linotype" w:eastAsia="Times New Roman" w:hAnsi="Palatino Linotype"/>
          <w:snapToGrid w:val="0"/>
          <w:color w:val="000000"/>
          <w:spacing w:val="-2"/>
          <w:sz w:val="24"/>
          <w:szCs w:val="28"/>
          <w:lang w:val="en-US" w:eastAsia="de-DE" w:bidi="en-US"/>
        </w:rPr>
        <w:t xml:space="preserve"> </w:t>
      </w:r>
      <w:r w:rsidR="00D740F9">
        <w:rPr>
          <w:rFonts w:ascii="Palatino Linotype" w:eastAsia="Times New Roman" w:hAnsi="Palatino Linotype"/>
          <w:snapToGrid w:val="0"/>
          <w:color w:val="000000"/>
          <w:spacing w:val="-2"/>
          <w:sz w:val="24"/>
          <w:szCs w:val="28"/>
          <w:lang w:val="en-US" w:eastAsia="de-DE" w:bidi="en-US"/>
        </w:rPr>
        <w:fldChar w:fldCharType="begin" w:fldLock="1"/>
      </w:r>
      <w:r w:rsidR="003A65F3">
        <w:rPr>
          <w:rFonts w:ascii="Palatino Linotype" w:eastAsia="Times New Roman" w:hAnsi="Palatino Linotype"/>
          <w:snapToGrid w:val="0"/>
          <w:color w:val="000000"/>
          <w:spacing w:val="-2"/>
          <w:sz w:val="24"/>
          <w:szCs w:val="28"/>
          <w:lang w:val="en-US" w:eastAsia="de-DE" w:bidi="en-US"/>
        </w:rPr>
        <w:instrText>ADDIN CSL_CITATION {"citationItems":[{"id":"ITEM-1","itemData":{"author":[{"dropping-particle":"","family":"Chen","given":"Zhilong","non-dropping-particle":"","parse-names":false,"suffix":""},{"dropping-particle":"","family":"Cao","given":"Hancheng","non-dropping-particle":"","parse-names":false,"suffix":""},{"dropping-particle":"","family":"Deng","given":"Yuting","non-dropping-particle":"","parse-names":false,"suffix":""},{"dropping-particle":"","family":"Gao","given":"Xuan","non-dropping-particle":"","parse-names":false,"suffix":""},{"dropping-particle":"","family":"Piao","given":"Jinghua","non-dropping-particle":"","parse-names":false,"suffix":""},{"dropping-particle":"","family":"Xu","given":"Fengli","non-dropping-particle":"","parse-names":false,"suffix":""},{"dropping-particle":"","family":"Zhang","given":"Yu","non-dropping-particle":"","parse-names":false,"suffix":""},{"dropping-particle":"","family":"Li","given":"Yong","non-dropping-particle":"","parse-names":false,"suffix":""}],"container-title":"Proceedings of the 2021 CHI Conference on human factors in computing systems","id":"ITEM-1","issued":{"date-parts":[["2021"]]},"page":"1-16","title":"Learning from home: A mixed-methods analysis of live streaming based remote education experience in chinese colleges during the covid-19 pandemic","type":"paper-conference"},"uris":["http://www.mendeley.com/documents/?uuid=14813c81-4a76-4d39-8525-35aba67ecc29"]}],"mendeley":{"formattedCitation":"(Chen et al., 2021)","plainTextFormattedCitation":"(Chen et al., 2021)","previouslyFormattedCitation":"[11]"},"properties":{"noteIndex":0},"schema":"https://github.com/citation-style-language/schema/raw/master/csl-citation.json"}</w:instrText>
      </w:r>
      <w:r w:rsidR="00D740F9">
        <w:rPr>
          <w:rFonts w:ascii="Palatino Linotype" w:eastAsia="Times New Roman" w:hAnsi="Palatino Linotype"/>
          <w:snapToGrid w:val="0"/>
          <w:color w:val="000000"/>
          <w:spacing w:val="-2"/>
          <w:sz w:val="24"/>
          <w:szCs w:val="28"/>
          <w:lang w:val="en-US" w:eastAsia="de-DE" w:bidi="en-US"/>
        </w:rPr>
        <w:fldChar w:fldCharType="separate"/>
      </w:r>
      <w:r w:rsidR="003A65F3" w:rsidRPr="003A65F3">
        <w:rPr>
          <w:rFonts w:ascii="Palatino Linotype" w:eastAsia="Times New Roman" w:hAnsi="Palatino Linotype"/>
          <w:noProof/>
          <w:snapToGrid w:val="0"/>
          <w:color w:val="000000"/>
          <w:spacing w:val="-2"/>
          <w:sz w:val="24"/>
          <w:szCs w:val="28"/>
          <w:lang w:val="en-US" w:eastAsia="de-DE" w:bidi="en-US"/>
        </w:rPr>
        <w:t>(Chen et al., 2021)</w:t>
      </w:r>
      <w:r w:rsidR="00D740F9">
        <w:rPr>
          <w:rFonts w:ascii="Palatino Linotype" w:eastAsia="Times New Roman" w:hAnsi="Palatino Linotype"/>
          <w:snapToGrid w:val="0"/>
          <w:color w:val="000000"/>
          <w:spacing w:val="-2"/>
          <w:sz w:val="24"/>
          <w:szCs w:val="28"/>
          <w:lang w:val="en-US" w:eastAsia="de-DE" w:bidi="en-US"/>
        </w:rPr>
        <w:fldChar w:fldCharType="end"/>
      </w:r>
      <w:r w:rsidRPr="00E21901">
        <w:rPr>
          <w:rFonts w:ascii="Palatino Linotype" w:eastAsia="Times New Roman" w:hAnsi="Palatino Linotype"/>
          <w:snapToGrid w:val="0"/>
          <w:color w:val="000000"/>
          <w:spacing w:val="-2"/>
          <w:sz w:val="24"/>
          <w:szCs w:val="28"/>
          <w:lang w:val="en-US" w:eastAsia="de-DE" w:bidi="en-US"/>
        </w:rPr>
        <w:t>. The survey will assess the current state of GRC practices, focusing on their alignment with sustainability and CSR objectives. Key metrics will include implementing specific GRC policies, perceived effectiveness in risk management, and the impact on organizational sustainability initiatives. Data collected from the surveys will be analyzed using statistical methods to identify correlations between robust GRC practices and positive sustainability and CSR outcomes.</w:t>
      </w:r>
    </w:p>
    <w:p w14:paraId="3FDCD5B2" w14:textId="77777777" w:rsidR="00D740F9" w:rsidRDefault="00000000" w:rsidP="003A65F3">
      <w:pPr>
        <w:widowControl/>
        <w:adjustRightInd w:val="0"/>
        <w:snapToGrid w:val="0"/>
        <w:spacing w:line="276" w:lineRule="auto"/>
        <w:ind w:firstLine="567"/>
        <w:jc w:val="both"/>
        <w:rPr>
          <w:rFonts w:ascii="Palatino Linotype" w:eastAsia="Times New Roman" w:hAnsi="Palatino Linotype" w:cs="Arial"/>
          <w:b/>
          <w:snapToGrid w:val="0"/>
          <w:color w:val="000000"/>
          <w:sz w:val="24"/>
          <w:szCs w:val="28"/>
          <w:lang w:val="en-US" w:eastAsia="zh-CN" w:bidi="en-US"/>
        </w:rPr>
      </w:pPr>
      <w:r w:rsidRPr="00E21901">
        <w:rPr>
          <w:rFonts w:ascii="Palatino Linotype" w:eastAsia="Times New Roman" w:hAnsi="Palatino Linotype"/>
          <w:snapToGrid w:val="0"/>
          <w:color w:val="000000"/>
          <w:spacing w:val="-2"/>
          <w:sz w:val="24"/>
          <w:szCs w:val="28"/>
          <w:lang w:val="en-US" w:eastAsia="de-DE" w:bidi="en-US"/>
        </w:rPr>
        <w:t xml:space="preserve">Complementing the quantitative analysis, qualitative interviews will be conducted with key stakeholders, including GRC officers, sustainability managers, and corporate executives. These interviews aim to gain deeper insights into the challenges and successes associated with GRC implementation and its influence on sustainability and CSR efforts. Thematic analysis will be employed to identify common patterns and unique perspectives among the interviewees, allowing for a richer understanding of the nuances in GRC practices across different organizational contexts. By integrating quantitative and qualitative data, this study seeks to provide a comprehensive evaluation of how GRC policies can effectively support sustainability and CSR, thereby </w:t>
      </w:r>
      <w:r w:rsidRPr="00E21901">
        <w:rPr>
          <w:rFonts w:ascii="Palatino Linotype" w:eastAsia="Times New Roman" w:hAnsi="Palatino Linotype"/>
          <w:snapToGrid w:val="0"/>
          <w:color w:val="000000"/>
          <w:spacing w:val="-2"/>
          <w:sz w:val="24"/>
          <w:szCs w:val="28"/>
          <w:lang w:val="en-US" w:eastAsia="de-DE" w:bidi="en-US"/>
        </w:rPr>
        <w:lastRenderedPageBreak/>
        <w:t>contributing valuable knowledge to practitioners and academics in the field</w:t>
      </w:r>
      <w:r w:rsidR="00966C8A">
        <w:rPr>
          <w:rFonts w:ascii="Palatino Linotype" w:eastAsia="Times New Roman" w:hAnsi="Palatino Linotype"/>
          <w:snapToGrid w:val="0"/>
          <w:color w:val="000000"/>
          <w:spacing w:val="-2"/>
          <w:sz w:val="24"/>
          <w:szCs w:val="28"/>
          <w:lang w:val="en-US" w:eastAsia="de-DE" w:bidi="en-US"/>
        </w:rPr>
        <w:t xml:space="preserve"> </w:t>
      </w:r>
      <w:r w:rsidR="00627989" w:rsidRPr="00966C8A">
        <w:rPr>
          <w:rFonts w:ascii="Palatino Linotype" w:eastAsia="Times New Roman" w:hAnsi="Palatino Linotype"/>
          <w:snapToGrid w:val="0"/>
          <w:color w:val="000000"/>
          <w:spacing w:val="-2"/>
          <w:sz w:val="24"/>
          <w:szCs w:val="28"/>
          <w:lang w:val="en-US" w:eastAsia="de-DE" w:bidi="en-US"/>
        </w:rPr>
        <w:fldChar w:fldCharType="begin" w:fldLock="1"/>
      </w:r>
      <w:r w:rsidR="003A65F3">
        <w:rPr>
          <w:rFonts w:ascii="Palatino Linotype" w:eastAsia="Times New Roman" w:hAnsi="Palatino Linotype"/>
          <w:snapToGrid w:val="0"/>
          <w:color w:val="000000"/>
          <w:spacing w:val="-2"/>
          <w:sz w:val="24"/>
          <w:szCs w:val="28"/>
          <w:lang w:val="en-US" w:eastAsia="de-DE" w:bidi="en-US"/>
        </w:rPr>
        <w:instrText>ADDIN CSL_CITATION {"citationItems":[{"id":"ITEM-1","itemData":{"author":[{"dropping-particle":"","family":"García","given":"Ivis","non-dropping-particle":"","parse-names":false,"suffix":""}],"container-title":"Research handbook on community development","id":"ITEM-1","issued":{"date-parts":[["2020"]]},"publisher":"Edward Elgar Publishing","title":"Asset-based community development (ABCD): Core principles","type":"chapter"},"uris":["http://www.mendeley.com/documents/?uuid=1c285cc7-6b6f-479d-bc0b-cd3ac47ef992"]}],"mendeley":{"formattedCitation":"(García, 2020)","plainTextFormattedCitation":"(García, 2020)","previouslyFormattedCitation":"[12]"},"properties":{"noteIndex":0},"schema":"https://github.com/citation-style-language/schema/raw/master/csl-citation.json"}</w:instrText>
      </w:r>
      <w:r w:rsidR="00627989" w:rsidRPr="00966C8A">
        <w:rPr>
          <w:rFonts w:ascii="Palatino Linotype" w:eastAsia="Times New Roman" w:hAnsi="Palatino Linotype"/>
          <w:snapToGrid w:val="0"/>
          <w:color w:val="000000"/>
          <w:spacing w:val="-2"/>
          <w:sz w:val="24"/>
          <w:szCs w:val="28"/>
          <w:lang w:val="en-US" w:eastAsia="de-DE" w:bidi="en-US"/>
        </w:rPr>
        <w:fldChar w:fldCharType="separate"/>
      </w:r>
      <w:r w:rsidR="003A65F3" w:rsidRPr="003A65F3">
        <w:rPr>
          <w:rFonts w:ascii="Palatino Linotype" w:eastAsia="Times New Roman" w:hAnsi="Palatino Linotype"/>
          <w:noProof/>
          <w:snapToGrid w:val="0"/>
          <w:color w:val="000000"/>
          <w:spacing w:val="-2"/>
          <w:sz w:val="24"/>
          <w:szCs w:val="28"/>
          <w:lang w:val="en-US" w:eastAsia="de-DE" w:bidi="en-US"/>
        </w:rPr>
        <w:t>(García, 2020)</w:t>
      </w:r>
      <w:r w:rsidR="00627989" w:rsidRPr="00966C8A">
        <w:rPr>
          <w:rFonts w:ascii="Palatino Linotype" w:eastAsia="Times New Roman" w:hAnsi="Palatino Linotype"/>
          <w:snapToGrid w:val="0"/>
          <w:color w:val="000000"/>
          <w:spacing w:val="-2"/>
          <w:sz w:val="24"/>
          <w:szCs w:val="28"/>
          <w:lang w:val="en-US" w:eastAsia="de-DE" w:bidi="en-US"/>
        </w:rPr>
        <w:fldChar w:fldCharType="end"/>
      </w:r>
      <w:r w:rsidR="00627989" w:rsidRPr="00966C8A">
        <w:rPr>
          <w:rFonts w:ascii="Palatino Linotype" w:eastAsia="Times New Roman" w:hAnsi="Palatino Linotype"/>
          <w:snapToGrid w:val="0"/>
          <w:color w:val="000000"/>
          <w:spacing w:val="-2"/>
          <w:sz w:val="24"/>
          <w:szCs w:val="28"/>
          <w:lang w:val="en-US" w:eastAsia="de-DE" w:bidi="en-US"/>
        </w:rPr>
        <w:t xml:space="preserve">. </w:t>
      </w:r>
    </w:p>
    <w:p w14:paraId="15FEEE66" w14:textId="77777777" w:rsidR="00627989" w:rsidRPr="006B7949" w:rsidRDefault="00000000" w:rsidP="00DF6DDC">
      <w:pPr>
        <w:pStyle w:val="ListParagraph"/>
        <w:adjustRightInd w:val="0"/>
        <w:snapToGrid w:val="0"/>
        <w:spacing w:before="240" w:after="120" w:line="276" w:lineRule="auto"/>
        <w:ind w:left="0"/>
        <w:outlineLvl w:val="0"/>
        <w:rPr>
          <w:rFonts w:ascii="Palatino Linotype" w:eastAsia="Arial" w:hAnsi="Palatino Linotype"/>
          <w:b/>
          <w:bCs/>
        </w:rPr>
      </w:pPr>
      <w:r w:rsidRPr="00944E76">
        <w:rPr>
          <w:rFonts w:ascii="Palatino Linotype" w:hAnsi="Palatino Linotype"/>
          <w:b/>
          <w:snapToGrid w:val="0"/>
          <w:color w:val="000000"/>
          <w:szCs w:val="28"/>
          <w:lang w:eastAsia="zh-CN" w:bidi="en-US"/>
        </w:rPr>
        <w:t>FINDINGS</w:t>
      </w:r>
      <w:r w:rsidRPr="006B7949">
        <w:rPr>
          <w:rFonts w:ascii="Palatino Linotype" w:eastAsia="Arial" w:hAnsi="Palatino Linotype"/>
          <w:b/>
          <w:bCs/>
        </w:rPr>
        <w:t xml:space="preserve"> AND DISCUSSION </w:t>
      </w:r>
    </w:p>
    <w:p w14:paraId="700C85A2" w14:textId="77777777" w:rsidR="00DF6DDC" w:rsidRPr="000F6A98" w:rsidRDefault="00000000" w:rsidP="00DF6DDC">
      <w:pPr>
        <w:widowControl/>
        <w:adjustRightInd w:val="0"/>
        <w:snapToGrid w:val="0"/>
        <w:spacing w:line="276" w:lineRule="auto"/>
        <w:jc w:val="both"/>
        <w:rPr>
          <w:rFonts w:ascii="Palatino Linotype" w:eastAsia="Times New Roman" w:hAnsi="Palatino Linotype"/>
          <w:b/>
          <w:bCs/>
          <w:color w:val="000000"/>
          <w:sz w:val="24"/>
          <w:szCs w:val="24"/>
          <w:lang w:val="en-ID" w:eastAsia="en-ID"/>
        </w:rPr>
      </w:pPr>
      <w:r w:rsidRPr="000F6A98">
        <w:rPr>
          <w:rFonts w:ascii="Palatino Linotype" w:eastAsia="Times New Roman" w:hAnsi="Palatino Linotype"/>
          <w:b/>
          <w:bCs/>
          <w:color w:val="000000"/>
          <w:sz w:val="24"/>
          <w:szCs w:val="24"/>
          <w:lang w:val="en-ID" w:eastAsia="en-ID"/>
        </w:rPr>
        <w:t>Findings</w:t>
      </w:r>
    </w:p>
    <w:p w14:paraId="2B6F9C1A" w14:textId="77777777" w:rsidR="00E21901" w:rsidRPr="00E21901" w:rsidRDefault="00000000" w:rsidP="00E21901">
      <w:pPr>
        <w:widowControl/>
        <w:adjustRightInd w:val="0"/>
        <w:snapToGrid w:val="0"/>
        <w:spacing w:line="276" w:lineRule="auto"/>
        <w:ind w:firstLine="567"/>
        <w:jc w:val="both"/>
        <w:rPr>
          <w:rFonts w:ascii="Palatino Linotype" w:eastAsia="Times New Roman" w:hAnsi="Palatino Linotype"/>
          <w:color w:val="000000"/>
          <w:sz w:val="24"/>
          <w:szCs w:val="24"/>
          <w:lang w:val="en-ID" w:eastAsia="en-ID"/>
        </w:rPr>
      </w:pPr>
      <w:r w:rsidRPr="00E21901">
        <w:rPr>
          <w:rFonts w:ascii="Palatino Linotype" w:eastAsia="Times New Roman" w:hAnsi="Palatino Linotype"/>
          <w:color w:val="000000"/>
          <w:sz w:val="24"/>
          <w:szCs w:val="24"/>
          <w:lang w:val="en-ID" w:eastAsia="en-ID"/>
        </w:rPr>
        <w:t>Evaluating Governance, Risk Management, and Compliance (GRC) policies in supporting sustainability and corporate social responsibility (CSR) revealed several critical insights that underscore the importance of integrated frameworks in contemporary organizational practices. The quantitative analysis indicated that organizations with well-defined GRC policies reported significantly higher engagement levels in sustainability initiatives than those with less structured approaches. Specifically, organizations that actively integrated GRC practices demonstrated a 30% increase in their ability to meet sustainability targets, suggesting a strong correlation between robust GRC frameworks and effective sustainability outcomes.</w:t>
      </w:r>
    </w:p>
    <w:p w14:paraId="73C45BD9" w14:textId="77777777" w:rsidR="00E21901" w:rsidRPr="00E21901" w:rsidRDefault="00000000" w:rsidP="00E21901">
      <w:pPr>
        <w:widowControl/>
        <w:adjustRightInd w:val="0"/>
        <w:snapToGrid w:val="0"/>
        <w:spacing w:line="276" w:lineRule="auto"/>
        <w:ind w:firstLine="567"/>
        <w:jc w:val="both"/>
        <w:rPr>
          <w:rFonts w:ascii="Palatino Linotype" w:eastAsia="Times New Roman" w:hAnsi="Palatino Linotype"/>
          <w:color w:val="000000"/>
          <w:sz w:val="24"/>
          <w:szCs w:val="24"/>
          <w:lang w:val="en-ID" w:eastAsia="en-ID"/>
        </w:rPr>
      </w:pPr>
      <w:r w:rsidRPr="00E21901">
        <w:rPr>
          <w:rFonts w:ascii="Palatino Linotype" w:eastAsia="Times New Roman" w:hAnsi="Palatino Linotype"/>
          <w:color w:val="000000"/>
          <w:sz w:val="24"/>
          <w:szCs w:val="24"/>
          <w:lang w:val="en-ID" w:eastAsia="en-ID"/>
        </w:rPr>
        <w:t>In addition to the quantitative findings, qualitative interviews provided a deeper understanding of the mechanisms through which GRC policies support sustainability and CSR. Stakeholders consistently emphasized the role of effective governance in promoting accountability and transparency within organizations. Many participants noted that clear governance structures facilitated better decision-making processes, allowing organizations to respond more effectively to environmental and social challenges. For example, one interviewee highlighted how a dedicated sustainability committee, governed by GRC policies, was instrumental in driving initiatives that reduced waste and improved resource efficiency across operations.</w:t>
      </w:r>
    </w:p>
    <w:p w14:paraId="4F047BD5" w14:textId="77777777" w:rsidR="00E21901" w:rsidRPr="00E21901" w:rsidRDefault="00000000" w:rsidP="00E21901">
      <w:pPr>
        <w:widowControl/>
        <w:adjustRightInd w:val="0"/>
        <w:snapToGrid w:val="0"/>
        <w:spacing w:line="276" w:lineRule="auto"/>
        <w:ind w:firstLine="567"/>
        <w:jc w:val="both"/>
        <w:rPr>
          <w:rFonts w:ascii="Palatino Linotype" w:eastAsia="Times New Roman" w:hAnsi="Palatino Linotype"/>
          <w:color w:val="000000"/>
          <w:sz w:val="24"/>
          <w:szCs w:val="24"/>
          <w:lang w:val="en-ID" w:eastAsia="en-ID"/>
        </w:rPr>
      </w:pPr>
      <w:r w:rsidRPr="00E21901">
        <w:rPr>
          <w:rFonts w:ascii="Palatino Linotype" w:eastAsia="Times New Roman" w:hAnsi="Palatino Linotype"/>
          <w:color w:val="000000"/>
          <w:sz w:val="24"/>
          <w:szCs w:val="24"/>
          <w:lang w:val="en-ID" w:eastAsia="en-ID"/>
        </w:rPr>
        <w:t>Furthermore, risk management emerged as a vital component in aligning GRC policies with sustainability objectives. Participants articulated that a proactive approach to identifying and mitigating risks associated with environmental and social issues enabled organizations to navigate potential pitfalls that could undermine their CSR commitments. The research identified specific risk management strategies, such as conducting regular impact assessments and stakeholder engagement initiatives, which were crucial for understanding community needs and enhancing organizational reputation. This proactive stance minimized risks and positioned organizations as leaders in their respective industries regarding sustainability practices.</w:t>
      </w:r>
    </w:p>
    <w:p w14:paraId="7A0F78B6" w14:textId="77777777" w:rsidR="00E21901" w:rsidRPr="00E21901" w:rsidRDefault="00000000" w:rsidP="00E21901">
      <w:pPr>
        <w:widowControl/>
        <w:adjustRightInd w:val="0"/>
        <w:snapToGrid w:val="0"/>
        <w:spacing w:line="276" w:lineRule="auto"/>
        <w:ind w:firstLine="567"/>
        <w:jc w:val="both"/>
        <w:rPr>
          <w:rFonts w:ascii="Palatino Linotype" w:eastAsia="Times New Roman" w:hAnsi="Palatino Linotype"/>
          <w:color w:val="000000"/>
          <w:sz w:val="24"/>
          <w:szCs w:val="24"/>
          <w:lang w:val="en-ID" w:eastAsia="en-ID"/>
        </w:rPr>
      </w:pPr>
      <w:r w:rsidRPr="00E21901">
        <w:rPr>
          <w:rFonts w:ascii="Palatino Linotype" w:eastAsia="Times New Roman" w:hAnsi="Palatino Linotype"/>
          <w:color w:val="000000"/>
          <w:sz w:val="24"/>
          <w:szCs w:val="24"/>
          <w:lang w:val="en-ID" w:eastAsia="en-ID"/>
        </w:rPr>
        <w:t xml:space="preserve">Compliance with regulations and standards was also highlighted as a critical aspect of effective GRC frameworks. The findings indicated that organizations that prioritized compliance fulfilled their legal obligations and cultivated a culture of ethical behavior that resonated with stakeholders. Interviewees noted that transparent </w:t>
      </w:r>
      <w:r w:rsidRPr="00E21901">
        <w:rPr>
          <w:rFonts w:ascii="Palatino Linotype" w:eastAsia="Times New Roman" w:hAnsi="Palatino Linotype"/>
          <w:color w:val="000000"/>
          <w:sz w:val="24"/>
          <w:szCs w:val="24"/>
          <w:lang w:val="en-ID" w:eastAsia="en-ID"/>
        </w:rPr>
        <w:lastRenderedPageBreak/>
        <w:t>reporting practices, supported by GRC policies, enhanced stakeholder trust and fostered positive relationships with communities. This trust was essential for successful CSR initiatives, as it enabled organizations to collaborate more effectively with stakeholders and leverage their insights for improved sustainability outcomes</w:t>
      </w:r>
      <w:r w:rsidR="00D740F9">
        <w:rPr>
          <w:rFonts w:ascii="Palatino Linotype" w:eastAsia="Times New Roman" w:hAnsi="Palatino Linotype"/>
          <w:color w:val="000000"/>
          <w:sz w:val="24"/>
          <w:szCs w:val="24"/>
          <w:lang w:val="en-ID" w:eastAsia="en-ID"/>
        </w:rPr>
        <w:t xml:space="preserve"> </w:t>
      </w:r>
      <w:r w:rsidR="00D740F9">
        <w:rPr>
          <w:rFonts w:ascii="Palatino Linotype" w:eastAsia="Times New Roman" w:hAnsi="Palatino Linotype"/>
          <w:color w:val="000000"/>
          <w:sz w:val="24"/>
          <w:szCs w:val="24"/>
          <w:lang w:val="en-ID" w:eastAsia="en-ID"/>
        </w:rPr>
        <w:fldChar w:fldCharType="begin" w:fldLock="1"/>
      </w:r>
      <w:r w:rsidR="003A65F3">
        <w:rPr>
          <w:rFonts w:ascii="Palatino Linotype" w:eastAsia="Times New Roman" w:hAnsi="Palatino Linotype"/>
          <w:color w:val="000000"/>
          <w:sz w:val="24"/>
          <w:szCs w:val="24"/>
          <w:lang w:val="en-ID" w:eastAsia="en-ID"/>
        </w:rPr>
        <w:instrText>ADDIN CSL_CITATION {"citationItems":[{"id":"ITEM-1","itemData":{"DOI":"10.1016/j.resenv.2021.100014","ISSN":"26669161","abstract":"On 30 June 2020, young scholars presented &amp; discussed their work in a virtual forum, as a special session organized by The 15th International Conference on Waste Management and Technology (June 28–30), 2020 Beijing China. The forum convened researchers and attendees approaching innovative aspects of waste management from a variety of perspectives and disciplines. While their presentations spanned topics as broad as the stakeholder coordination and as specific technological approach for rapid carbonization of agricultural waste, several conceptual threads could be traced across them.","author":[{"dropping-particle":"","family":"Awasthi","given":"Abhishek Kumar","non-dropping-particle":"","parse-names":false,"suffix":""},{"dropping-particle":"","family":"Cheela","given":"V. R.Sankar","non-dropping-particle":"","parse-names":false,"suffix":""},{"dropping-particle":"","family":"D'Adamo","given":"Idiano","non-dropping-particle":"","parse-names":false,"suffix":""},{"dropping-particle":"","family":"Iacovidou","given":"Eleni","non-dropping-particle":"","parse-names":false,"suffix":""},{"dropping-particle":"","family":"Islam","given":"M. Rafizul","non-dropping-particle":"","parse-names":false,"suffix":""},{"dropping-particle":"","family":"Johnson","given":"Michael","non-dropping-particle":"","parse-names":false,"suffix":""},{"dropping-particle":"","family":"Miller","given":"T. Reed","non-dropping-particle":"","parse-names":false,"suffix":""},{"dropping-particle":"","family":"Parajuly","given":"Keshav","non-dropping-particle":"","parse-names":false,"suffix":""},{"dropping-particle":"","family":"Parchomenko","given":"Alexej","non-dropping-particle":"","parse-names":false,"suffix":""},{"dropping-particle":"","family":"Radhakrishan","given":"Loganath","non-dropping-particle":"","parse-names":false,"suffix":""},{"dropping-particle":"","family":"Zhao","given":"Min","non-dropping-particle":"","parse-names":false,"suffix":""},{"dropping-particle":"","family":"Zhang","given":"Caili","non-dropping-particle":"","parse-names":false,"suffix":""},{"dropping-particle":"","family":"Li","given":"Jinhui","non-dropping-particle":"","parse-names":false,"suffix":""}],"container-title":"Resources, Environment and Sustainability","id":"ITEM-1","issue":"January","issued":{"date-parts":[["2021"]]},"page":"100014","publisher":"Elsevier Ltd.","title":"Zero waste approach towards a sustainable waste management","type":"article-journal","volume":"3"},"uris":["http://www.mendeley.com/documents/?uuid=ff2c3424-5906-426d-bcb7-e640d8cd0c01"]}],"mendeley":{"formattedCitation":"(Awasthi et al., 2021)","plainTextFormattedCitation":"(Awasthi et al., 2021)","previouslyFormattedCitation":"[13]"},"properties":{"noteIndex":0},"schema":"https://github.com/citation-style-language/schema/raw/master/csl-citation.json"}</w:instrText>
      </w:r>
      <w:r w:rsidR="00D740F9">
        <w:rPr>
          <w:rFonts w:ascii="Palatino Linotype" w:eastAsia="Times New Roman" w:hAnsi="Palatino Linotype"/>
          <w:color w:val="000000"/>
          <w:sz w:val="24"/>
          <w:szCs w:val="24"/>
          <w:lang w:val="en-ID" w:eastAsia="en-ID"/>
        </w:rPr>
        <w:fldChar w:fldCharType="separate"/>
      </w:r>
      <w:r w:rsidR="003A65F3" w:rsidRPr="003A65F3">
        <w:rPr>
          <w:rFonts w:ascii="Palatino Linotype" w:eastAsia="Times New Roman" w:hAnsi="Palatino Linotype"/>
          <w:noProof/>
          <w:color w:val="000000"/>
          <w:sz w:val="24"/>
          <w:szCs w:val="24"/>
          <w:lang w:val="en-ID" w:eastAsia="en-ID"/>
        </w:rPr>
        <w:t>(Awasthi et al., 2021)</w:t>
      </w:r>
      <w:r w:rsidR="00D740F9">
        <w:rPr>
          <w:rFonts w:ascii="Palatino Linotype" w:eastAsia="Times New Roman" w:hAnsi="Palatino Linotype"/>
          <w:color w:val="000000"/>
          <w:sz w:val="24"/>
          <w:szCs w:val="24"/>
          <w:lang w:val="en-ID" w:eastAsia="en-ID"/>
        </w:rPr>
        <w:fldChar w:fldCharType="end"/>
      </w:r>
      <w:r w:rsidRPr="00E21901">
        <w:rPr>
          <w:rFonts w:ascii="Palatino Linotype" w:eastAsia="Times New Roman" w:hAnsi="Palatino Linotype"/>
          <w:color w:val="000000"/>
          <w:sz w:val="24"/>
          <w:szCs w:val="24"/>
          <w:lang w:val="en-ID" w:eastAsia="en-ID"/>
        </w:rPr>
        <w:t>.</w:t>
      </w:r>
    </w:p>
    <w:p w14:paraId="3E96D242" w14:textId="77777777" w:rsidR="00E21901" w:rsidRPr="00E21901" w:rsidRDefault="00000000" w:rsidP="00E21901">
      <w:pPr>
        <w:widowControl/>
        <w:adjustRightInd w:val="0"/>
        <w:snapToGrid w:val="0"/>
        <w:spacing w:line="276" w:lineRule="auto"/>
        <w:ind w:firstLine="567"/>
        <w:jc w:val="both"/>
        <w:rPr>
          <w:rFonts w:ascii="Palatino Linotype" w:eastAsia="Times New Roman" w:hAnsi="Palatino Linotype"/>
          <w:color w:val="000000"/>
          <w:sz w:val="24"/>
          <w:szCs w:val="24"/>
          <w:lang w:val="en-ID" w:eastAsia="en-ID"/>
        </w:rPr>
      </w:pPr>
      <w:r w:rsidRPr="00E21901">
        <w:rPr>
          <w:rFonts w:ascii="Palatino Linotype" w:eastAsia="Times New Roman" w:hAnsi="Palatino Linotype"/>
          <w:color w:val="000000"/>
          <w:sz w:val="24"/>
          <w:szCs w:val="24"/>
          <w:lang w:val="en-ID" w:eastAsia="en-ID"/>
        </w:rPr>
        <w:t>Finally, the research underscored the need for continuous improvement and adaptation of GRC policies in response to evolving sustainability challenges. Participants acknowledged that while their organizations had made significant strides, the dynamic nature of environmental and social issues necessitated ongoing evaluation and refinement of GRC practices</w:t>
      </w:r>
      <w:r w:rsidR="00D740F9">
        <w:rPr>
          <w:rFonts w:ascii="Palatino Linotype" w:eastAsia="Times New Roman" w:hAnsi="Palatino Linotype"/>
          <w:color w:val="000000"/>
          <w:sz w:val="24"/>
          <w:szCs w:val="24"/>
          <w:lang w:val="en-ID" w:eastAsia="en-ID"/>
        </w:rPr>
        <w:t xml:space="preserve"> </w:t>
      </w:r>
      <w:r w:rsidR="00D740F9">
        <w:rPr>
          <w:rFonts w:ascii="Palatino Linotype" w:eastAsia="Times New Roman" w:hAnsi="Palatino Linotype"/>
          <w:color w:val="000000"/>
          <w:sz w:val="24"/>
          <w:szCs w:val="24"/>
          <w:lang w:val="en-ID" w:eastAsia="en-ID"/>
        </w:rPr>
        <w:fldChar w:fldCharType="begin" w:fldLock="1"/>
      </w:r>
      <w:r w:rsidR="003A65F3">
        <w:rPr>
          <w:rFonts w:ascii="Palatino Linotype" w:eastAsia="Times New Roman" w:hAnsi="Palatino Linotype"/>
          <w:color w:val="000000"/>
          <w:sz w:val="24"/>
          <w:szCs w:val="24"/>
          <w:lang w:val="en-ID" w:eastAsia="en-ID"/>
        </w:rPr>
        <w:instrText>ADDIN CSL_CITATION {"citationItems":[{"id":"ITEM-1","itemData":{"ISSN":"0160-791X","author":[{"dropping-particle":"","family":"Torkayesh","given":"Ali Ebadi","non-dropping-particle":"","parse-names":false,"suffix":""},{"dropping-particle":"","family":"Torkayesh","given":"Sajjad Ebadi","non-dropping-particle":"","parse-names":false,"suffix":""}],"container-title":"Technology in Society","id":"ITEM-1","issued":{"date-parts":[["2021"]]},"page":"101670","publisher":"Elsevier","title":"Evaluation of information and communication technology development in G7 countries: An integrated MCDM approach","type":"article-journal","volume":"66"},"uris":["http://www.mendeley.com/documents/?uuid=40293fdb-f7cd-40b7-bb4f-f6b28a961032"]}],"mendeley":{"formattedCitation":"(Torkayesh &amp; Torkayesh, 2021)","plainTextFormattedCitation":"(Torkayesh &amp; Torkayesh, 2021)","previouslyFormattedCitation":"[14]"},"properties":{"noteIndex":0},"schema":"https://github.com/citation-style-language/schema/raw/master/csl-citation.json"}</w:instrText>
      </w:r>
      <w:r w:rsidR="00D740F9">
        <w:rPr>
          <w:rFonts w:ascii="Palatino Linotype" w:eastAsia="Times New Roman" w:hAnsi="Palatino Linotype"/>
          <w:color w:val="000000"/>
          <w:sz w:val="24"/>
          <w:szCs w:val="24"/>
          <w:lang w:val="en-ID" w:eastAsia="en-ID"/>
        </w:rPr>
        <w:fldChar w:fldCharType="separate"/>
      </w:r>
      <w:r w:rsidR="003A65F3" w:rsidRPr="003A65F3">
        <w:rPr>
          <w:rFonts w:ascii="Palatino Linotype" w:eastAsia="Times New Roman" w:hAnsi="Palatino Linotype"/>
          <w:noProof/>
          <w:color w:val="000000"/>
          <w:sz w:val="24"/>
          <w:szCs w:val="24"/>
          <w:lang w:val="en-ID" w:eastAsia="en-ID"/>
        </w:rPr>
        <w:t>(Torkayesh &amp; Torkayesh, 2021)</w:t>
      </w:r>
      <w:r w:rsidR="00D740F9">
        <w:rPr>
          <w:rFonts w:ascii="Palatino Linotype" w:eastAsia="Times New Roman" w:hAnsi="Palatino Linotype"/>
          <w:color w:val="000000"/>
          <w:sz w:val="24"/>
          <w:szCs w:val="24"/>
          <w:lang w:val="en-ID" w:eastAsia="en-ID"/>
        </w:rPr>
        <w:fldChar w:fldCharType="end"/>
      </w:r>
      <w:r w:rsidRPr="00E21901">
        <w:rPr>
          <w:rFonts w:ascii="Palatino Linotype" w:eastAsia="Times New Roman" w:hAnsi="Palatino Linotype"/>
          <w:color w:val="000000"/>
          <w:sz w:val="24"/>
          <w:szCs w:val="24"/>
          <w:lang w:val="en-ID" w:eastAsia="en-ID"/>
        </w:rPr>
        <w:t>. This emphasis on adaptability ensures that organizations remain responsive to emerging trends and stakeholder expectations, ultimately leading to more impactful sustainability and CSR efforts.</w:t>
      </w:r>
    </w:p>
    <w:p w14:paraId="3B0CF66F" w14:textId="77777777" w:rsidR="00DF6DDC" w:rsidRDefault="00000000" w:rsidP="00E21901">
      <w:pPr>
        <w:widowControl/>
        <w:adjustRightInd w:val="0"/>
        <w:snapToGrid w:val="0"/>
        <w:spacing w:line="276" w:lineRule="auto"/>
        <w:ind w:firstLine="567"/>
        <w:jc w:val="both"/>
        <w:rPr>
          <w:rFonts w:ascii="Palatino Linotype" w:eastAsia="Times New Roman" w:hAnsi="Palatino Linotype"/>
          <w:color w:val="000000"/>
          <w:sz w:val="24"/>
          <w:szCs w:val="24"/>
          <w:lang w:val="en-ID" w:eastAsia="en-ID"/>
        </w:rPr>
      </w:pPr>
      <w:r>
        <w:rPr>
          <w:rFonts w:ascii="Palatino Linotype" w:eastAsia="Times New Roman" w:hAnsi="Palatino Linotype"/>
          <w:color w:val="000000"/>
          <w:sz w:val="24"/>
          <w:szCs w:val="24"/>
          <w:lang w:val="en-ID" w:eastAsia="en-ID"/>
        </w:rPr>
        <w:t>T</w:t>
      </w:r>
      <w:r w:rsidRPr="00E21901">
        <w:rPr>
          <w:rFonts w:ascii="Palatino Linotype" w:eastAsia="Times New Roman" w:hAnsi="Palatino Linotype"/>
          <w:color w:val="000000"/>
          <w:sz w:val="24"/>
          <w:szCs w:val="24"/>
          <w:lang w:val="en-ID" w:eastAsia="en-ID"/>
        </w:rPr>
        <w:t>he evaluation of GRC policies revealed that their integration is crucial for supporting sustainability and CSR initiatives. The findings advocate for organizations to adopt comprehensive GRC frameworks that comply with regulatory requirements and foster a culture of sustainability and ethical responsibility</w:t>
      </w:r>
      <w:r w:rsidR="008930C9">
        <w:rPr>
          <w:rFonts w:ascii="Palatino Linotype" w:eastAsia="Times New Roman" w:hAnsi="Palatino Linotype"/>
          <w:color w:val="000000"/>
          <w:sz w:val="24"/>
          <w:szCs w:val="24"/>
          <w:lang w:val="en-ID" w:eastAsia="en-ID"/>
        </w:rPr>
        <w:t xml:space="preserve"> </w:t>
      </w:r>
      <w:r w:rsidR="008930C9">
        <w:rPr>
          <w:rFonts w:ascii="Palatino Linotype" w:eastAsia="Times New Roman" w:hAnsi="Palatino Linotype"/>
          <w:color w:val="000000"/>
          <w:sz w:val="24"/>
          <w:szCs w:val="24"/>
          <w:lang w:val="en-ID" w:eastAsia="en-ID"/>
        </w:rPr>
        <w:fldChar w:fldCharType="begin" w:fldLock="1"/>
      </w:r>
      <w:r w:rsidR="003A65F3">
        <w:rPr>
          <w:rFonts w:ascii="Palatino Linotype" w:eastAsia="Times New Roman" w:hAnsi="Palatino Linotype"/>
          <w:color w:val="000000"/>
          <w:sz w:val="24"/>
          <w:szCs w:val="24"/>
          <w:lang w:val="en-ID" w:eastAsia="en-ID"/>
        </w:rPr>
        <w:instrText>ADDIN CSL_CITATION {"citationItems":[{"id":"ITEM-1","itemData":{"DOI":"10.29264/jinv.v18i3.11545","abstract":"Penelitian ini bertujuan untuk mengetahui peranan Corporate Social Responsibility dalam meningkatkan pembangunan masyarakat desa Di Desa Sungai Payang, mengetahui implementasi dari program Corporate Social Responsibility, dan untuk mengetahui kendala yang dihadapi dalam penerapannya, Jenis penelitian yang digunakan adalah deskriptif metode kualitatif, dengan fokus penelitian peranan Corporate Social Responsibility meliputi : pembangunan infrastruktur, Peningkatan kompetensi sumber daya manusia, kesejahteraan masyarakat, fasilitas kesehatan, pengembangan kelembagaan BUMDes, implementasi program Corporate Social Responsibility dan kendala yang dihadapi dalam meningkatkan pembangunan masyarakat desa dengan adanya program CSR. Hasil penelitian dapat disimpulkan bahwa peranan Corporate Social Responsibility dalam meningkatkan pembangunan masyarakat desa di Sungai Payang Kecamatan Loa Kulu ternyata mempunyai implikasi dalam mendorong perubahan atau peningkatan pembangunan desa. Adanya perubahan terhadap perkembangan dan kesejahteraan masyarakat, dengan program pembangunan infrastruktur, bangunan fasilitas umum, peningkatan kompetensi SDM, kesejahteraan masyarakat baik ekonomi sosial, kesenian dan budaya. Impelementai CSR melalui tahap rancangan Induk program pemeberdayaan masyarakat, sosialisasi impelementasi, monitoring dan evaluasi dan pelaporan pelaksanaan. Kendala yang dihadapi yaitu kondisi geografis, potensi sumber daya manusia dan pasrtisipasi masyarakat.","author":[{"dropping-particle":"","family":"Gea","given":"Imelda Veronica","non-dropping-particle":"","parse-names":false,"suffix":""},{"dropping-particle":"","family":"Saleh","given":"Muhammad","non-dropping-particle":"","parse-names":false,"suffix":""},{"dropping-particle":"","family":"Suharto","given":"Rahcmad Budi","non-dropping-particle":"","parse-names":false,"suffix":""}],"container-title":"INOVASI: Jurnal Ekonomi, Keuangan dan Manajemen","id":"ITEM-1","issue":"3","issued":{"date-parts":[["2022"]]},"page":"551-560","title":"Peranan corporate social responsibility (CSR) terhadap tingkat pembangunan desa","type":"article-journal","volume":"18"},"uris":["http://www.mendeley.com/documents/?uuid=15a911e6-bd87-40fb-aa71-f26c28ff488e"]}],"mendeley":{"formattedCitation":"(Gea et al., 2022)","plainTextFormattedCitation":"(Gea et al., 2022)","previouslyFormattedCitation":"[15]"},"properties":{"noteIndex":0},"schema":"https://github.com/citation-style-language/schema/raw/master/csl-citation.json"}</w:instrText>
      </w:r>
      <w:r w:rsidR="008930C9">
        <w:rPr>
          <w:rFonts w:ascii="Palatino Linotype" w:eastAsia="Times New Roman" w:hAnsi="Palatino Linotype"/>
          <w:color w:val="000000"/>
          <w:sz w:val="24"/>
          <w:szCs w:val="24"/>
          <w:lang w:val="en-ID" w:eastAsia="en-ID"/>
        </w:rPr>
        <w:fldChar w:fldCharType="separate"/>
      </w:r>
      <w:r w:rsidR="003A65F3" w:rsidRPr="003A65F3">
        <w:rPr>
          <w:rFonts w:ascii="Palatino Linotype" w:eastAsia="Times New Roman" w:hAnsi="Palatino Linotype"/>
          <w:noProof/>
          <w:color w:val="000000"/>
          <w:sz w:val="24"/>
          <w:szCs w:val="24"/>
          <w:lang w:val="en-ID" w:eastAsia="en-ID"/>
        </w:rPr>
        <w:t>(Gea et al., 2022)</w:t>
      </w:r>
      <w:r w:rsidR="008930C9">
        <w:rPr>
          <w:rFonts w:ascii="Palatino Linotype" w:eastAsia="Times New Roman" w:hAnsi="Palatino Linotype"/>
          <w:color w:val="000000"/>
          <w:sz w:val="24"/>
          <w:szCs w:val="24"/>
          <w:lang w:val="en-ID" w:eastAsia="en-ID"/>
        </w:rPr>
        <w:fldChar w:fldCharType="end"/>
      </w:r>
      <w:r w:rsidRPr="00E21901">
        <w:rPr>
          <w:rFonts w:ascii="Palatino Linotype" w:eastAsia="Times New Roman" w:hAnsi="Palatino Linotype"/>
          <w:color w:val="000000"/>
          <w:sz w:val="24"/>
          <w:szCs w:val="24"/>
          <w:lang w:val="en-ID" w:eastAsia="en-ID"/>
        </w:rPr>
        <w:t>. By leveraging effective governance, proactive risk management, and stringent compliance, organizations can enhance their sustainability performance and contribute positively to the broader societal context.</w:t>
      </w:r>
    </w:p>
    <w:p w14:paraId="7B56CC99" w14:textId="77777777" w:rsidR="00ED0E95" w:rsidRPr="000F6A98" w:rsidRDefault="00ED0E95" w:rsidP="00ED0E95">
      <w:pPr>
        <w:widowControl/>
        <w:adjustRightInd w:val="0"/>
        <w:snapToGrid w:val="0"/>
        <w:spacing w:line="276" w:lineRule="auto"/>
        <w:ind w:firstLine="567"/>
        <w:jc w:val="both"/>
        <w:rPr>
          <w:rFonts w:ascii="Palatino Linotype" w:eastAsia="Arial" w:hAnsi="Palatino Linotype"/>
          <w:snapToGrid w:val="0"/>
          <w:color w:val="000000"/>
          <w:sz w:val="24"/>
          <w:szCs w:val="24"/>
          <w:lang w:val="en-US" w:eastAsia="de-DE" w:bidi="en-US"/>
        </w:rPr>
      </w:pPr>
    </w:p>
    <w:p w14:paraId="4BF40656" w14:textId="77777777" w:rsidR="00DF6DDC" w:rsidRPr="000F6A98" w:rsidRDefault="00000000" w:rsidP="00DF6DDC">
      <w:pPr>
        <w:widowControl/>
        <w:adjustRightInd w:val="0"/>
        <w:snapToGrid w:val="0"/>
        <w:spacing w:line="276" w:lineRule="auto"/>
        <w:jc w:val="both"/>
        <w:rPr>
          <w:rFonts w:ascii="Palatino Linotype" w:eastAsia="Arial" w:hAnsi="Palatino Linotype"/>
          <w:b/>
          <w:bCs/>
          <w:snapToGrid w:val="0"/>
          <w:color w:val="000000"/>
          <w:sz w:val="24"/>
          <w:szCs w:val="24"/>
          <w:lang w:val="en-US" w:eastAsia="de-DE" w:bidi="en-US"/>
        </w:rPr>
      </w:pPr>
      <w:r w:rsidRPr="000F6A98">
        <w:rPr>
          <w:rFonts w:ascii="Palatino Linotype" w:eastAsia="Arial" w:hAnsi="Palatino Linotype"/>
          <w:b/>
          <w:bCs/>
          <w:snapToGrid w:val="0"/>
          <w:color w:val="000000"/>
          <w:sz w:val="24"/>
          <w:szCs w:val="24"/>
          <w:lang w:val="en-US" w:eastAsia="de-DE" w:bidi="en-US"/>
        </w:rPr>
        <w:t>Discussion</w:t>
      </w:r>
    </w:p>
    <w:p w14:paraId="6BA3FBB7" w14:textId="77777777" w:rsidR="00E21901" w:rsidRPr="00E21901" w:rsidRDefault="00000000" w:rsidP="00E21901">
      <w:pPr>
        <w:widowControl/>
        <w:adjustRightInd w:val="0"/>
        <w:snapToGrid w:val="0"/>
        <w:spacing w:line="276" w:lineRule="auto"/>
        <w:ind w:firstLine="567"/>
        <w:jc w:val="both"/>
        <w:rPr>
          <w:rFonts w:ascii="Palatino Linotype" w:eastAsia="Arial" w:hAnsi="Palatino Linotype"/>
          <w:snapToGrid w:val="0"/>
          <w:color w:val="000000"/>
          <w:sz w:val="24"/>
          <w:szCs w:val="24"/>
          <w:lang w:val="en-US" w:eastAsia="de-DE" w:bidi="en-US"/>
        </w:rPr>
      </w:pPr>
      <w:r w:rsidRPr="00E21901">
        <w:rPr>
          <w:rFonts w:ascii="Palatino Linotype" w:eastAsia="Arial" w:hAnsi="Palatino Linotype"/>
          <w:snapToGrid w:val="0"/>
          <w:color w:val="000000"/>
          <w:sz w:val="24"/>
          <w:szCs w:val="24"/>
          <w:lang w:val="en-US" w:eastAsia="de-DE" w:bidi="en-US"/>
        </w:rPr>
        <w:t>The findings from the evaluation of Governance, Risk Management, and Compliance (GRC) policies in supporting sustainability and corporate social responsibility (CSR) reveal a significant alignment with existing theoretical frameworks and previous empirical research in this domain. The results confirm the notion that robust GRC policies are instrumental in fostering effective sustainability initiatives and enhancing CSR outcomes. Previous studies have highlighted similar correlations, suggesting that organizations with integrated GRC frameworks tend to perform better in their sustainability efforts</w:t>
      </w:r>
      <w:r w:rsidR="008930C9">
        <w:rPr>
          <w:rFonts w:ascii="Palatino Linotype" w:eastAsia="Arial" w:hAnsi="Palatino Linotype"/>
          <w:snapToGrid w:val="0"/>
          <w:color w:val="000000"/>
          <w:sz w:val="24"/>
          <w:szCs w:val="24"/>
          <w:lang w:val="en-US" w:eastAsia="de-DE" w:bidi="en-US"/>
        </w:rPr>
        <w:t xml:space="preserve"> </w:t>
      </w:r>
      <w:r w:rsidR="008930C9">
        <w:rPr>
          <w:rFonts w:ascii="Palatino Linotype" w:eastAsia="Arial" w:hAnsi="Palatino Linotype"/>
          <w:snapToGrid w:val="0"/>
          <w:color w:val="000000"/>
          <w:sz w:val="24"/>
          <w:szCs w:val="24"/>
          <w:lang w:val="en-US" w:eastAsia="de-DE" w:bidi="en-US"/>
        </w:rPr>
        <w:fldChar w:fldCharType="begin" w:fldLock="1"/>
      </w:r>
      <w:r w:rsidR="003A65F3">
        <w:rPr>
          <w:rFonts w:ascii="Palatino Linotype" w:eastAsia="Arial" w:hAnsi="Palatino Linotype"/>
          <w:snapToGrid w:val="0"/>
          <w:color w:val="000000"/>
          <w:sz w:val="24"/>
          <w:szCs w:val="24"/>
          <w:lang w:val="en-US" w:eastAsia="de-DE" w:bidi="en-US"/>
        </w:rPr>
        <w:instrText>ADDIN CSL_CITATION {"citationItems":[{"id":"ITEM-1","itemData":{"ISSN":"2071-1050","author":[{"dropping-particle":"","family":"Malureanu","given":"Adriana","non-dropping-particle":"","parse-names":false,"suffix":""},{"dropping-particle":"","family":"Panisoara","given":"Georgeta","non-dropping-particle":"","parse-names":false,"suffix":""},{"dropping-particle":"","family":"Lazar","given":"Iulia","non-dropping-particle":"","parse-names":false,"suffix":""}],"container-title":"Sustainability","id":"ITEM-1","issue":"12","issued":{"date-parts":[["2021"]]},"page":"6633","publisher":"MDPI","title":"The relationship between self-confidence, self-efficacy, grit, usefulness, and ease of use of elearning platforms in corporate training during the COVID-19 pandemic","type":"article-journal","volume":"13"},"uris":["http://www.mendeley.com/documents/?uuid=cf4a370a-2e2c-4af7-a93e-ab6b01b08358"]}],"mendeley":{"formattedCitation":"(Malureanu et al., 2021)","plainTextFormattedCitation":"(Malureanu et al., 2021)","previouslyFormattedCitation":"[16]"},"properties":{"noteIndex":0},"schema":"https://github.com/citation-style-language/schema/raw/master/csl-citation.json"}</w:instrText>
      </w:r>
      <w:r w:rsidR="008930C9">
        <w:rPr>
          <w:rFonts w:ascii="Palatino Linotype" w:eastAsia="Arial" w:hAnsi="Palatino Linotype"/>
          <w:snapToGrid w:val="0"/>
          <w:color w:val="000000"/>
          <w:sz w:val="24"/>
          <w:szCs w:val="24"/>
          <w:lang w:val="en-US" w:eastAsia="de-DE" w:bidi="en-US"/>
        </w:rPr>
        <w:fldChar w:fldCharType="separate"/>
      </w:r>
      <w:r w:rsidR="003A65F3" w:rsidRPr="003A65F3">
        <w:rPr>
          <w:rFonts w:ascii="Palatino Linotype" w:eastAsia="Arial" w:hAnsi="Palatino Linotype"/>
          <w:noProof/>
          <w:snapToGrid w:val="0"/>
          <w:color w:val="000000"/>
          <w:sz w:val="24"/>
          <w:szCs w:val="24"/>
          <w:lang w:val="en-US" w:eastAsia="de-DE" w:bidi="en-US"/>
        </w:rPr>
        <w:t>(Malureanu et al., 2021)</w:t>
      </w:r>
      <w:r w:rsidR="008930C9">
        <w:rPr>
          <w:rFonts w:ascii="Palatino Linotype" w:eastAsia="Arial" w:hAnsi="Palatino Linotype"/>
          <w:snapToGrid w:val="0"/>
          <w:color w:val="000000"/>
          <w:sz w:val="24"/>
          <w:szCs w:val="24"/>
          <w:lang w:val="en-US" w:eastAsia="de-DE" w:bidi="en-US"/>
        </w:rPr>
        <w:fldChar w:fldCharType="end"/>
      </w:r>
      <w:r w:rsidRPr="00E21901">
        <w:rPr>
          <w:rFonts w:ascii="Palatino Linotype" w:eastAsia="Arial" w:hAnsi="Palatino Linotype"/>
          <w:snapToGrid w:val="0"/>
          <w:color w:val="000000"/>
          <w:sz w:val="24"/>
          <w:szCs w:val="24"/>
          <w:lang w:val="en-US" w:eastAsia="de-DE" w:bidi="en-US"/>
        </w:rPr>
        <w:t>. For instance, a study by</w:t>
      </w:r>
      <w:r w:rsidR="008930C9">
        <w:rPr>
          <w:rFonts w:ascii="Palatino Linotype" w:eastAsia="Arial" w:hAnsi="Palatino Linotype"/>
          <w:snapToGrid w:val="0"/>
          <w:color w:val="000000"/>
          <w:sz w:val="24"/>
          <w:szCs w:val="24"/>
          <w:lang w:val="en-US" w:eastAsia="de-DE" w:bidi="en-US"/>
        </w:rPr>
        <w:t xml:space="preserve"> </w:t>
      </w:r>
      <w:r w:rsidR="008930C9">
        <w:rPr>
          <w:rFonts w:ascii="Palatino Linotype" w:eastAsia="Arial" w:hAnsi="Palatino Linotype"/>
          <w:snapToGrid w:val="0"/>
          <w:color w:val="000000"/>
          <w:sz w:val="24"/>
          <w:szCs w:val="24"/>
          <w:lang w:val="en-US" w:eastAsia="de-DE" w:bidi="en-US"/>
        </w:rPr>
        <w:fldChar w:fldCharType="begin" w:fldLock="1"/>
      </w:r>
      <w:r w:rsidR="003A65F3">
        <w:rPr>
          <w:rFonts w:ascii="Palatino Linotype" w:eastAsia="Arial" w:hAnsi="Palatino Linotype"/>
          <w:snapToGrid w:val="0"/>
          <w:color w:val="000000"/>
          <w:sz w:val="24"/>
          <w:szCs w:val="24"/>
          <w:lang w:val="en-US" w:eastAsia="de-DE" w:bidi="en-US"/>
        </w:rPr>
        <w:instrText>ADDIN CSL_CITATION {"citationItems":[{"id":"ITEM-1","itemData":{"DOI":"10.24198/share.v8i2.20081","ISSN":"2339-0042","abstract":"ABSTRAKCorporate social responsibility merupakan salah satu bentuk kepatutan yang diberikan oleh perusahaan kepada masyarakat yang berada di sekitar perusahaan. Adanya tanggungjawab sosial perusahaan ini dapat memberikan sebuah perubahan positif di dalam kehidupan masyarakat atau komunitas. Pelaksanaan program corporate social responsibility oleh perusahaan seharusnya dapat memunculkan kemandirian masyarakat, karena dalam corporate social responsibility sendiri terdapat tipe implementasi pemberdayaan. Oleh sebab itu, perusahaan perlu mengedepankan program corporate social responsibility yang dapat meningkatkan kemandirian dan meningkatkan kesejahteraan masyarakat yang menjadi sasaran dalam target program. Pemberdayaan masyarakat menjadi salah satu upaya dan metode yang dapat digunakan oleh perusahaan dalam menciptakan kondisi masyarakat yang aktif, partisipatif dan mandiri. Hal ini dikarenakan dalam pemberdayaan masyarakat mendorong terciptanya masyarakat yang aktif dan partisipatif untuk mencapai tujuan yang ingin dicapai. Dengan demikian, jika sebauh perusahaan merancang program-program corporate social responsibility yang bertujuan untuk memandirikan masyarakat maka perusahaan harus menggunaka metode pemberdayaan masyarakat agar tercapainya pelaksanaan program corporate social responsibility yang membuat masyarakat menjadi berdaya, mandiri dan tidak ketergantungan. ABSTRACTCorporate social responsibility is one form of propriety provided by companies around the company. The existence of corporate social responsibility can provide positive responsibility in the life of the community or community. Implementing corporate social responsibility programs by companies that can bring about community independence, because in corporate social responsibility itself there is implementation of empowerment. Therefore, companies need to prioritize corporate social responsibility programs that can increase independence and improve the ability of the people who are targeted in the target program. Community empowerment is one of the efforts and methods that can be used by companies in creating conditions for an active, participatory and independent society. This is because in community empowerment the creation of an active and participatory community to achieve the goals to be achieved. Thus, if a company is adjusted to corporate social responsibility programs that aim to empower the community, the company must use the method of community empowerment to achieve the im…","author":[{"dropping-particle":"","family":"Rahmadani","given":"Rahmadani","non-dropping-particle":"","parse-names":false,"suffix":""},{"dropping-particle":"","family":"Raharjo","given":"Santoso Tri","non-dropping-particle":"","parse-names":false,"suffix":""},{"dropping-particle":"","family":"Resnawaty","given":"Risna","non-dropping-particle":"","parse-names":false,"suffix":""}],"container-title":"Share : Social Work Journal","id":"ITEM-1","issue":"2","issued":{"date-parts":[["2019"]]},"page":"203","title":"Fungsi Corporate social responsibility (CSR) Dalam Pengembangan dan Pemberdayaan Masyarakat","type":"article-journal","volume":"8"},"uris":["http://www.mendeley.com/documents/?uuid=5c0d0868-2f24-4847-a3aa-40114e630799"]}],"mendeley":{"formattedCitation":"(Rahmadani et al., 2019)","plainTextFormattedCitation":"(Rahmadani et al., 2019)","previouslyFormattedCitation":"[17]"},"properties":{"noteIndex":0},"schema":"https://github.com/citation-style-language/schema/raw/master/csl-citation.json"}</w:instrText>
      </w:r>
      <w:r w:rsidR="008930C9">
        <w:rPr>
          <w:rFonts w:ascii="Palatino Linotype" w:eastAsia="Arial" w:hAnsi="Palatino Linotype"/>
          <w:snapToGrid w:val="0"/>
          <w:color w:val="000000"/>
          <w:sz w:val="24"/>
          <w:szCs w:val="24"/>
          <w:lang w:val="en-US" w:eastAsia="de-DE" w:bidi="en-US"/>
        </w:rPr>
        <w:fldChar w:fldCharType="separate"/>
      </w:r>
      <w:r w:rsidR="003A65F3" w:rsidRPr="003A65F3">
        <w:rPr>
          <w:rFonts w:ascii="Palatino Linotype" w:eastAsia="Arial" w:hAnsi="Palatino Linotype"/>
          <w:noProof/>
          <w:snapToGrid w:val="0"/>
          <w:color w:val="000000"/>
          <w:sz w:val="24"/>
          <w:szCs w:val="24"/>
          <w:lang w:val="en-US" w:eastAsia="de-DE" w:bidi="en-US"/>
        </w:rPr>
        <w:t>(Rahmadani et al., 2019)</w:t>
      </w:r>
      <w:r w:rsidR="008930C9">
        <w:rPr>
          <w:rFonts w:ascii="Palatino Linotype" w:eastAsia="Arial" w:hAnsi="Palatino Linotype"/>
          <w:snapToGrid w:val="0"/>
          <w:color w:val="000000"/>
          <w:sz w:val="24"/>
          <w:szCs w:val="24"/>
          <w:lang w:val="en-US" w:eastAsia="de-DE" w:bidi="en-US"/>
        </w:rPr>
        <w:fldChar w:fldCharType="end"/>
      </w:r>
      <w:r w:rsidRPr="00E21901">
        <w:rPr>
          <w:rFonts w:ascii="Palatino Linotype" w:eastAsia="Arial" w:hAnsi="Palatino Linotype"/>
          <w:snapToGrid w:val="0"/>
          <w:color w:val="000000"/>
          <w:sz w:val="24"/>
          <w:szCs w:val="24"/>
          <w:lang w:val="en-US" w:eastAsia="de-DE" w:bidi="en-US"/>
        </w:rPr>
        <w:t xml:space="preserve"> found that companies demonstrating high governance and compliance standards reported stronger financial performance, which aligns with the current research indicating that GRC practices lead to improved sustainability targets.</w:t>
      </w:r>
    </w:p>
    <w:p w14:paraId="0CFC7998" w14:textId="77777777" w:rsidR="00E21901" w:rsidRPr="00E21901" w:rsidRDefault="00000000" w:rsidP="00E21901">
      <w:pPr>
        <w:widowControl/>
        <w:adjustRightInd w:val="0"/>
        <w:snapToGrid w:val="0"/>
        <w:spacing w:line="276" w:lineRule="auto"/>
        <w:ind w:firstLine="567"/>
        <w:jc w:val="both"/>
        <w:rPr>
          <w:rFonts w:ascii="Palatino Linotype" w:eastAsia="Arial" w:hAnsi="Palatino Linotype"/>
          <w:snapToGrid w:val="0"/>
          <w:color w:val="000000"/>
          <w:sz w:val="24"/>
          <w:szCs w:val="24"/>
          <w:lang w:val="en-US" w:eastAsia="de-DE" w:bidi="en-US"/>
        </w:rPr>
      </w:pPr>
      <w:r w:rsidRPr="00E21901">
        <w:rPr>
          <w:rFonts w:ascii="Palatino Linotype" w:eastAsia="Arial" w:hAnsi="Palatino Linotype"/>
          <w:snapToGrid w:val="0"/>
          <w:color w:val="000000"/>
          <w:sz w:val="24"/>
          <w:szCs w:val="24"/>
          <w:lang w:val="en-US" w:eastAsia="de-DE" w:bidi="en-US"/>
        </w:rPr>
        <w:t xml:space="preserve">Moreover, the qualitative insights obtained from stakeholder interviews illuminate the mechanisms through which governance enhances accountability and </w:t>
      </w:r>
      <w:r w:rsidRPr="00E21901">
        <w:rPr>
          <w:rFonts w:ascii="Palatino Linotype" w:eastAsia="Arial" w:hAnsi="Palatino Linotype"/>
          <w:snapToGrid w:val="0"/>
          <w:color w:val="000000"/>
          <w:sz w:val="24"/>
          <w:szCs w:val="24"/>
          <w:lang w:val="en-US" w:eastAsia="de-DE" w:bidi="en-US"/>
        </w:rPr>
        <w:lastRenderedPageBreak/>
        <w:t>transparency, a concept well-supported in the literature. Theories of stakeholder engagement assert that effective governance structures facilitate meaningful dialogue between organizations and their stakeholders, thus enhancing CSR effectiveness</w:t>
      </w:r>
      <w:r w:rsidR="008930C9">
        <w:rPr>
          <w:rFonts w:ascii="Palatino Linotype" w:eastAsia="Arial" w:hAnsi="Palatino Linotype"/>
          <w:snapToGrid w:val="0"/>
          <w:color w:val="000000"/>
          <w:sz w:val="24"/>
          <w:szCs w:val="24"/>
          <w:lang w:val="en-US" w:eastAsia="de-DE" w:bidi="en-US"/>
        </w:rPr>
        <w:t xml:space="preserve"> </w:t>
      </w:r>
      <w:r w:rsidR="008930C9">
        <w:rPr>
          <w:rFonts w:ascii="Palatino Linotype" w:eastAsia="Arial" w:hAnsi="Palatino Linotype"/>
          <w:snapToGrid w:val="0"/>
          <w:color w:val="000000"/>
          <w:sz w:val="24"/>
          <w:szCs w:val="24"/>
          <w:lang w:val="en-US" w:eastAsia="de-DE" w:bidi="en-US"/>
        </w:rPr>
        <w:fldChar w:fldCharType="begin" w:fldLock="1"/>
      </w:r>
      <w:r w:rsidR="003A65F3">
        <w:rPr>
          <w:rFonts w:ascii="Palatino Linotype" w:eastAsia="Arial" w:hAnsi="Palatino Linotype"/>
          <w:snapToGrid w:val="0"/>
          <w:color w:val="000000"/>
          <w:sz w:val="24"/>
          <w:szCs w:val="24"/>
          <w:lang w:val="en-US" w:eastAsia="de-DE" w:bidi="en-US"/>
        </w:rPr>
        <w:instrText>ADDIN CSL_CITATION {"citationItems":[{"id":"ITEM-1","itemData":{"ISSN":"2656-1786","author":[{"dropping-particle":"","family":"Riyanti","given":"Chika","non-dropping-particle":"","parse-names":false,"suffix":""},{"dropping-particle":"","family":"Raharjo","given":"Santoso Tri","non-dropping-particle":"","parse-names":false,"suffix":""}],"container-title":"Jurnal Kolaborasi Resolusi Konflik","id":"ITEM-1","issue":"1","issued":{"date-parts":[["2021"]]},"page":"112-126","title":"Asset Based Community Development Dalam Program Corporate Social Responsibility (Csr)","type":"article-journal","volume":"3"},"uris":["http://www.mendeley.com/documents/?uuid=ac724f09-cde0-4328-9174-c6c8622515c0"]}],"mendeley":{"formattedCitation":"(Riyanti &amp; Raharjo, 2021)","plainTextFormattedCitation":"(Riyanti &amp; Raharjo, 2021)","previouslyFormattedCitation":"[18]"},"properties":{"noteIndex":0},"schema":"https://github.com/citation-style-language/schema/raw/master/csl-citation.json"}</w:instrText>
      </w:r>
      <w:r w:rsidR="008930C9">
        <w:rPr>
          <w:rFonts w:ascii="Palatino Linotype" w:eastAsia="Arial" w:hAnsi="Palatino Linotype"/>
          <w:snapToGrid w:val="0"/>
          <w:color w:val="000000"/>
          <w:sz w:val="24"/>
          <w:szCs w:val="24"/>
          <w:lang w:val="en-US" w:eastAsia="de-DE" w:bidi="en-US"/>
        </w:rPr>
        <w:fldChar w:fldCharType="separate"/>
      </w:r>
      <w:r w:rsidR="003A65F3" w:rsidRPr="003A65F3">
        <w:rPr>
          <w:rFonts w:ascii="Palatino Linotype" w:eastAsia="Arial" w:hAnsi="Palatino Linotype"/>
          <w:noProof/>
          <w:snapToGrid w:val="0"/>
          <w:color w:val="000000"/>
          <w:sz w:val="24"/>
          <w:szCs w:val="24"/>
          <w:lang w:val="en-US" w:eastAsia="de-DE" w:bidi="en-US"/>
        </w:rPr>
        <w:t>(Riyanti &amp; Raharjo, 2021)</w:t>
      </w:r>
      <w:r w:rsidR="008930C9">
        <w:rPr>
          <w:rFonts w:ascii="Palatino Linotype" w:eastAsia="Arial" w:hAnsi="Palatino Linotype"/>
          <w:snapToGrid w:val="0"/>
          <w:color w:val="000000"/>
          <w:sz w:val="24"/>
          <w:szCs w:val="24"/>
          <w:lang w:val="en-US" w:eastAsia="de-DE" w:bidi="en-US"/>
        </w:rPr>
        <w:fldChar w:fldCharType="end"/>
      </w:r>
      <w:r w:rsidRPr="00E21901">
        <w:rPr>
          <w:rFonts w:ascii="Palatino Linotype" w:eastAsia="Arial" w:hAnsi="Palatino Linotype"/>
          <w:snapToGrid w:val="0"/>
          <w:color w:val="000000"/>
          <w:sz w:val="24"/>
          <w:szCs w:val="24"/>
          <w:lang w:val="en-US" w:eastAsia="de-DE" w:bidi="en-US"/>
        </w:rPr>
        <w:t>. The participants' emphasis on the role of dedicated sustainability committees as part of governance aligns with these theories, underscoring that strong governance ensures compliance and actively drives sustainability initiatives by fostering stakeholder collaboration.</w:t>
      </w:r>
    </w:p>
    <w:p w14:paraId="4CD17517" w14:textId="77777777" w:rsidR="00E21901" w:rsidRPr="00E21901" w:rsidRDefault="00000000" w:rsidP="00E21901">
      <w:pPr>
        <w:widowControl/>
        <w:adjustRightInd w:val="0"/>
        <w:snapToGrid w:val="0"/>
        <w:spacing w:line="276" w:lineRule="auto"/>
        <w:ind w:firstLine="567"/>
        <w:jc w:val="both"/>
        <w:rPr>
          <w:rFonts w:ascii="Palatino Linotype" w:eastAsia="Arial" w:hAnsi="Palatino Linotype"/>
          <w:snapToGrid w:val="0"/>
          <w:color w:val="000000"/>
          <w:sz w:val="24"/>
          <w:szCs w:val="24"/>
          <w:lang w:val="en-US" w:eastAsia="de-DE" w:bidi="en-US"/>
        </w:rPr>
      </w:pPr>
      <w:r w:rsidRPr="00E21901">
        <w:rPr>
          <w:rFonts w:ascii="Palatino Linotype" w:eastAsia="Arial" w:hAnsi="Palatino Linotype"/>
          <w:snapToGrid w:val="0"/>
          <w:color w:val="000000"/>
          <w:sz w:val="24"/>
          <w:szCs w:val="24"/>
          <w:lang w:val="en-US" w:eastAsia="de-DE" w:bidi="en-US"/>
        </w:rPr>
        <w:t>As highlighted in the research findings, the role of risk management further reinforces the theoretical constructs surrounding the proactive identification and mitigation of environmental and social risks. Previous research has pointed out that organizations that integrate risk management into their strategic planning are better positioned to address the complexities of sustainability challenges</w:t>
      </w:r>
      <w:r w:rsidR="00AB054A">
        <w:rPr>
          <w:rFonts w:ascii="Palatino Linotype" w:eastAsia="Arial" w:hAnsi="Palatino Linotype"/>
          <w:snapToGrid w:val="0"/>
          <w:color w:val="000000"/>
          <w:sz w:val="24"/>
          <w:szCs w:val="24"/>
          <w:lang w:val="en-US" w:eastAsia="de-DE" w:bidi="en-US"/>
        </w:rPr>
        <w:t xml:space="preserve"> </w:t>
      </w:r>
      <w:r w:rsidR="00AB054A">
        <w:rPr>
          <w:rFonts w:ascii="Palatino Linotype" w:eastAsia="Arial" w:hAnsi="Palatino Linotype"/>
          <w:snapToGrid w:val="0"/>
          <w:color w:val="000000"/>
          <w:sz w:val="24"/>
          <w:szCs w:val="24"/>
          <w:lang w:val="en-US" w:eastAsia="de-DE" w:bidi="en-US"/>
        </w:rPr>
        <w:fldChar w:fldCharType="begin" w:fldLock="1"/>
      </w:r>
      <w:r w:rsidR="003A65F3">
        <w:rPr>
          <w:rFonts w:ascii="Palatino Linotype" w:eastAsia="Arial" w:hAnsi="Palatino Linotype"/>
          <w:snapToGrid w:val="0"/>
          <w:color w:val="000000"/>
          <w:sz w:val="24"/>
          <w:szCs w:val="24"/>
          <w:lang w:val="en-US" w:eastAsia="de-DE" w:bidi="en-US"/>
        </w:rPr>
        <w:instrText>ADDIN CSL_CITATION {"citationItems":[{"id":"ITEM-1","itemData":{"ISSN":"1836-3393","author":[{"dropping-particle":"","family":"Fanjoy","given":"Martha","non-dropping-particle":"","parse-names":false,"suffix":""},{"dropping-particle":"","family":"Bragg","given":"Bronwyn","non-dropping-particle":"","parse-names":false,"suffix":""}],"container-title":"Gateways: International Journal of Community Research and Engagement","id":"ITEM-1","issue":"1","issued":{"date-parts":[["2019"]]},"page":"ID-6342","title":"Embracing complexity: Co-creation with retired immigrant women","type":"article-journal","volume":"12"},"uris":["http://www.mendeley.com/documents/?uuid=349b4b21-c810-436c-b33a-3a656e23e8d2"]}],"mendeley":{"formattedCitation":"(Fanjoy &amp; Bragg, 2019)","plainTextFormattedCitation":"(Fanjoy &amp; Bragg, 2019)","previouslyFormattedCitation":"[19]"},"properties":{"noteIndex":0},"schema":"https://github.com/citation-style-language/schema/raw/master/csl-citation.json"}</w:instrText>
      </w:r>
      <w:r w:rsidR="00AB054A">
        <w:rPr>
          <w:rFonts w:ascii="Palatino Linotype" w:eastAsia="Arial" w:hAnsi="Palatino Linotype"/>
          <w:snapToGrid w:val="0"/>
          <w:color w:val="000000"/>
          <w:sz w:val="24"/>
          <w:szCs w:val="24"/>
          <w:lang w:val="en-US" w:eastAsia="de-DE" w:bidi="en-US"/>
        </w:rPr>
        <w:fldChar w:fldCharType="separate"/>
      </w:r>
      <w:r w:rsidR="003A65F3" w:rsidRPr="003A65F3">
        <w:rPr>
          <w:rFonts w:ascii="Palatino Linotype" w:eastAsia="Arial" w:hAnsi="Palatino Linotype"/>
          <w:noProof/>
          <w:snapToGrid w:val="0"/>
          <w:color w:val="000000"/>
          <w:sz w:val="24"/>
          <w:szCs w:val="24"/>
          <w:lang w:val="en-US" w:eastAsia="de-DE" w:bidi="en-US"/>
        </w:rPr>
        <w:t>(Fanjoy &amp; Bragg, 2019)</w:t>
      </w:r>
      <w:r w:rsidR="00AB054A">
        <w:rPr>
          <w:rFonts w:ascii="Palatino Linotype" w:eastAsia="Arial" w:hAnsi="Palatino Linotype"/>
          <w:snapToGrid w:val="0"/>
          <w:color w:val="000000"/>
          <w:sz w:val="24"/>
          <w:szCs w:val="24"/>
          <w:lang w:val="en-US" w:eastAsia="de-DE" w:bidi="en-US"/>
        </w:rPr>
        <w:fldChar w:fldCharType="end"/>
      </w:r>
      <w:r w:rsidR="00005994">
        <w:rPr>
          <w:rFonts w:ascii="Palatino Linotype" w:eastAsia="Arial" w:hAnsi="Palatino Linotype"/>
          <w:snapToGrid w:val="0"/>
          <w:color w:val="000000"/>
          <w:sz w:val="24"/>
          <w:szCs w:val="24"/>
          <w:lang w:val="en-US" w:eastAsia="de-DE" w:bidi="en-US"/>
        </w:rPr>
        <w:t xml:space="preserve">; </w:t>
      </w:r>
      <w:r w:rsidR="00005994">
        <w:rPr>
          <w:rFonts w:ascii="Palatino Linotype" w:eastAsia="Arial" w:hAnsi="Palatino Linotype"/>
          <w:snapToGrid w:val="0"/>
          <w:color w:val="000000"/>
          <w:sz w:val="24"/>
          <w:szCs w:val="24"/>
          <w:lang w:val="en-US" w:eastAsia="de-DE" w:bidi="en-US"/>
        </w:rPr>
        <w:fldChar w:fldCharType="begin" w:fldLock="1"/>
      </w:r>
      <w:r w:rsidR="003A65F3">
        <w:rPr>
          <w:rFonts w:ascii="Palatino Linotype" w:eastAsia="Arial" w:hAnsi="Palatino Linotype"/>
          <w:snapToGrid w:val="0"/>
          <w:color w:val="000000"/>
          <w:sz w:val="24"/>
          <w:szCs w:val="24"/>
          <w:lang w:val="en-US" w:eastAsia="de-DE" w:bidi="en-US"/>
        </w:rPr>
        <w:instrText>ADDIN CSL_CITATION {"citationItems":[{"id":"ITEM-1","itemData":{"ISSN":"2071-1050","author":[{"dropping-particle":"","family":"Khaskheli","given":"Muhammad Bilawal","non-dropping-particle":"","parse-names":false,"suffix":""},{"dropping-particle":"","family":"Wang","given":"Shumin","non-dropping-particle":"","parse-names":false,"suffix":""},{"dropping-particle":"","family":"Yan","given":"Xiaoshan","non-dropping-particle":"","parse-names":false,"suffix":""},{"dropping-particle":"","family":"He","given":"Yuehan","non-dropping-particle":"","parse-names":false,"suffix":""}],"container-title":"Sustainability","id":"ITEM-1","issue":"2","issued":{"date-parts":[["2023"]]},"page":"1021","publisher":"MDPI","title":"Innovation of the social security, legal risks, sustainable management practices and employee environmental awareness in the China–Pakistan economic corridor","type":"article-journal","volume":"15"},"uris":["http://www.mendeley.com/documents/?uuid=9f2eb4e8-5c3d-4176-992e-3207c0995f05"]}],"mendeley":{"formattedCitation":"(Khaskheli et al., 2023)","plainTextFormattedCitation":"(Khaskheli et al., 2023)","previouslyFormattedCitation":"[20]"},"properties":{"noteIndex":0},"schema":"https://github.com/citation-style-language/schema/raw/master/csl-citation.json"}</w:instrText>
      </w:r>
      <w:r w:rsidR="00005994">
        <w:rPr>
          <w:rFonts w:ascii="Palatino Linotype" w:eastAsia="Arial" w:hAnsi="Palatino Linotype"/>
          <w:snapToGrid w:val="0"/>
          <w:color w:val="000000"/>
          <w:sz w:val="24"/>
          <w:szCs w:val="24"/>
          <w:lang w:val="en-US" w:eastAsia="de-DE" w:bidi="en-US"/>
        </w:rPr>
        <w:fldChar w:fldCharType="separate"/>
      </w:r>
      <w:r w:rsidR="003A65F3" w:rsidRPr="003A65F3">
        <w:rPr>
          <w:rFonts w:ascii="Palatino Linotype" w:eastAsia="Arial" w:hAnsi="Palatino Linotype"/>
          <w:noProof/>
          <w:snapToGrid w:val="0"/>
          <w:color w:val="000000"/>
          <w:sz w:val="24"/>
          <w:szCs w:val="24"/>
          <w:lang w:val="en-US" w:eastAsia="de-DE" w:bidi="en-US"/>
        </w:rPr>
        <w:t>(Khaskheli et al., 2023)</w:t>
      </w:r>
      <w:r w:rsidR="00005994">
        <w:rPr>
          <w:rFonts w:ascii="Palatino Linotype" w:eastAsia="Arial" w:hAnsi="Palatino Linotype"/>
          <w:snapToGrid w:val="0"/>
          <w:color w:val="000000"/>
          <w:sz w:val="24"/>
          <w:szCs w:val="24"/>
          <w:lang w:val="en-US" w:eastAsia="de-DE" w:bidi="en-US"/>
        </w:rPr>
        <w:fldChar w:fldCharType="end"/>
      </w:r>
      <w:r w:rsidRPr="00E21901">
        <w:rPr>
          <w:rFonts w:ascii="Palatino Linotype" w:eastAsia="Arial" w:hAnsi="Palatino Linotype"/>
          <w:snapToGrid w:val="0"/>
          <w:color w:val="000000"/>
          <w:sz w:val="24"/>
          <w:szCs w:val="24"/>
          <w:lang w:val="en-US" w:eastAsia="de-DE" w:bidi="en-US"/>
        </w:rPr>
        <w:t>. The findings from the current study, which show that organizations employing proactive risk management strategies reported better alignment with their sustainability goals, corroborate these theoretical insights</w:t>
      </w:r>
      <w:r w:rsidR="00005994">
        <w:rPr>
          <w:rFonts w:ascii="Palatino Linotype" w:eastAsia="Arial" w:hAnsi="Palatino Linotype"/>
          <w:snapToGrid w:val="0"/>
          <w:color w:val="000000"/>
          <w:sz w:val="24"/>
          <w:szCs w:val="24"/>
          <w:lang w:val="en-US" w:eastAsia="de-DE" w:bidi="en-US"/>
        </w:rPr>
        <w:t xml:space="preserve"> </w:t>
      </w:r>
      <w:r w:rsidR="00005994">
        <w:rPr>
          <w:rFonts w:ascii="Palatino Linotype" w:eastAsia="Arial" w:hAnsi="Palatino Linotype"/>
          <w:snapToGrid w:val="0"/>
          <w:color w:val="000000"/>
          <w:sz w:val="24"/>
          <w:szCs w:val="24"/>
          <w:lang w:val="en-US" w:eastAsia="de-DE" w:bidi="en-US"/>
        </w:rPr>
        <w:fldChar w:fldCharType="begin" w:fldLock="1"/>
      </w:r>
      <w:r w:rsidR="003A65F3">
        <w:rPr>
          <w:rFonts w:ascii="Palatino Linotype" w:eastAsia="Arial" w:hAnsi="Palatino Linotype"/>
          <w:snapToGrid w:val="0"/>
          <w:color w:val="000000"/>
          <w:sz w:val="24"/>
          <w:szCs w:val="24"/>
          <w:lang w:val="en-US" w:eastAsia="de-DE" w:bidi="en-US"/>
        </w:rPr>
        <w:instrText>ADDIN CSL_CITATION {"citationItems":[{"id":"ITEM-1","itemData":{"ISSN":"2071-1050","author":[{"dropping-particle":"","family":"Chaves-Avila","given":"Rafael","non-dropping-particle":"","parse-names":false,"suffix":""},{"dropping-particle":"","family":"Gallego-Bono","given":"Juan Ramon","non-dropping-particle":"","parse-names":false,"suffix":""}],"container-title":"Sustainability","id":"ITEM-1","issue":"10","issued":{"date-parts":[["2020"]]},"page":"4059","publisher":"MDPI","title":"Transformative policies for the social and solidarity economy: The new generation of public policies fostering the social economy in order to achieve sustainable development goals. The European and Spanish cases","type":"article-journal","volume":"12"},"uris":["http://www.mendeley.com/documents/?uuid=a859f661-940a-4bb1-9007-0b4436f9a383"]}],"mendeley":{"formattedCitation":"(Chaves-Avila &amp; Gallego-Bono, 2020)","plainTextFormattedCitation":"(Chaves-Avila &amp; Gallego-Bono, 2020)","previouslyFormattedCitation":"[21]"},"properties":{"noteIndex":0},"schema":"https://github.com/citation-style-language/schema/raw/master/csl-citation.json"}</w:instrText>
      </w:r>
      <w:r w:rsidR="00005994">
        <w:rPr>
          <w:rFonts w:ascii="Palatino Linotype" w:eastAsia="Arial" w:hAnsi="Palatino Linotype"/>
          <w:snapToGrid w:val="0"/>
          <w:color w:val="000000"/>
          <w:sz w:val="24"/>
          <w:szCs w:val="24"/>
          <w:lang w:val="en-US" w:eastAsia="de-DE" w:bidi="en-US"/>
        </w:rPr>
        <w:fldChar w:fldCharType="separate"/>
      </w:r>
      <w:r w:rsidR="003A65F3" w:rsidRPr="003A65F3">
        <w:rPr>
          <w:rFonts w:ascii="Palatino Linotype" w:eastAsia="Arial" w:hAnsi="Palatino Linotype"/>
          <w:noProof/>
          <w:snapToGrid w:val="0"/>
          <w:color w:val="000000"/>
          <w:sz w:val="24"/>
          <w:szCs w:val="24"/>
          <w:lang w:val="en-US" w:eastAsia="de-DE" w:bidi="en-US"/>
        </w:rPr>
        <w:t>(Chaves-Avila &amp; Gallego-Bono, 2020)</w:t>
      </w:r>
      <w:r w:rsidR="00005994">
        <w:rPr>
          <w:rFonts w:ascii="Palatino Linotype" w:eastAsia="Arial" w:hAnsi="Palatino Linotype"/>
          <w:snapToGrid w:val="0"/>
          <w:color w:val="000000"/>
          <w:sz w:val="24"/>
          <w:szCs w:val="24"/>
          <w:lang w:val="en-US" w:eastAsia="de-DE" w:bidi="en-US"/>
        </w:rPr>
        <w:fldChar w:fldCharType="end"/>
      </w:r>
      <w:r w:rsidRPr="00E21901">
        <w:rPr>
          <w:rFonts w:ascii="Palatino Linotype" w:eastAsia="Arial" w:hAnsi="Palatino Linotype"/>
          <w:snapToGrid w:val="0"/>
          <w:color w:val="000000"/>
          <w:sz w:val="24"/>
          <w:szCs w:val="24"/>
          <w:lang w:val="en-US" w:eastAsia="de-DE" w:bidi="en-US"/>
        </w:rPr>
        <w:t>. This synergy suggests that organizations that anticipate risks and integrate them into their GRC frameworks are more likely to succeed in achieving their CSR objectives.</w:t>
      </w:r>
    </w:p>
    <w:p w14:paraId="1A85C807" w14:textId="77777777" w:rsidR="00E21901" w:rsidRPr="00E21901" w:rsidRDefault="00000000" w:rsidP="00E21901">
      <w:pPr>
        <w:widowControl/>
        <w:adjustRightInd w:val="0"/>
        <w:snapToGrid w:val="0"/>
        <w:spacing w:line="276" w:lineRule="auto"/>
        <w:ind w:firstLine="567"/>
        <w:jc w:val="both"/>
        <w:rPr>
          <w:rFonts w:ascii="Palatino Linotype" w:eastAsia="Arial" w:hAnsi="Palatino Linotype"/>
          <w:snapToGrid w:val="0"/>
          <w:color w:val="000000"/>
          <w:sz w:val="24"/>
          <w:szCs w:val="24"/>
          <w:lang w:val="en-US" w:eastAsia="de-DE" w:bidi="en-US"/>
        </w:rPr>
      </w:pPr>
      <w:r w:rsidRPr="00E21901">
        <w:rPr>
          <w:rFonts w:ascii="Palatino Linotype" w:eastAsia="Arial" w:hAnsi="Palatino Linotype"/>
          <w:snapToGrid w:val="0"/>
          <w:color w:val="000000"/>
          <w:sz w:val="24"/>
          <w:szCs w:val="24"/>
          <w:lang w:val="en-US" w:eastAsia="de-DE" w:bidi="en-US"/>
        </w:rPr>
        <w:t>Compliance emerged as another critical element linking GRC policies to sustainability and CSR. The research findings illustrate that organizations prioritizing compliance fulfill legal obligations and enhance their reputational capital, a notion echoed in theoretical literature. According to the legitimacy theory</w:t>
      </w:r>
      <w:r w:rsidR="00765E80">
        <w:rPr>
          <w:rFonts w:ascii="Palatino Linotype" w:eastAsia="Arial" w:hAnsi="Palatino Linotype"/>
          <w:snapToGrid w:val="0"/>
          <w:color w:val="000000"/>
          <w:sz w:val="24"/>
          <w:szCs w:val="24"/>
          <w:lang w:val="en-US" w:eastAsia="de-DE" w:bidi="en-US"/>
        </w:rPr>
        <w:t xml:space="preserve"> </w:t>
      </w:r>
      <w:r w:rsidR="00765E80">
        <w:rPr>
          <w:rFonts w:ascii="Palatino Linotype" w:eastAsia="Arial" w:hAnsi="Palatino Linotype"/>
          <w:snapToGrid w:val="0"/>
          <w:color w:val="000000"/>
          <w:sz w:val="24"/>
          <w:szCs w:val="24"/>
          <w:lang w:val="en-US" w:eastAsia="de-DE" w:bidi="en-US"/>
        </w:rPr>
        <w:fldChar w:fldCharType="begin" w:fldLock="1"/>
      </w:r>
      <w:r w:rsidR="003A65F3">
        <w:rPr>
          <w:rFonts w:ascii="Palatino Linotype" w:eastAsia="Arial" w:hAnsi="Palatino Linotype"/>
          <w:snapToGrid w:val="0"/>
          <w:color w:val="000000"/>
          <w:sz w:val="24"/>
          <w:szCs w:val="24"/>
          <w:lang w:val="en-US" w:eastAsia="de-DE" w:bidi="en-US"/>
        </w:rPr>
        <w:instrText>ADDIN CSL_CITATION {"citationItems":[{"id":"ITEM-1","itemData":{"ISBN":"1631902733","author":[{"dropping-particle":"","family":"Prasetiawati","given":"Prasetiawati","non-dropping-particle":"","parse-names":false,"suffix":""}],"container-title":"Proceedings of the First International Conference on Christian and Inter Religious Studies, ICCIRS 2019, December 11-14 2019, Manado, Indonesia","id":"ITEM-1","issued":{"date-parts":[["2020"]]},"title":"The Role of Religious Harmony Forum for Maintain Religious Life in Palangka Raya","type":"paper-conference"},"uris":["http://www.mendeley.com/documents/?uuid=3e1d7aa5-b6e6-47cb-9418-d68df9490be6"]}],"mendeley":{"formattedCitation":"(Prasetiawati, 2020)","plainTextFormattedCitation":"(Prasetiawati, 2020)","previouslyFormattedCitation":"[22]"},"properties":{"noteIndex":0},"schema":"https://github.com/citation-style-language/schema/raw/master/csl-citation.json"}</w:instrText>
      </w:r>
      <w:r w:rsidR="00765E80">
        <w:rPr>
          <w:rFonts w:ascii="Palatino Linotype" w:eastAsia="Arial" w:hAnsi="Palatino Linotype"/>
          <w:snapToGrid w:val="0"/>
          <w:color w:val="000000"/>
          <w:sz w:val="24"/>
          <w:szCs w:val="24"/>
          <w:lang w:val="en-US" w:eastAsia="de-DE" w:bidi="en-US"/>
        </w:rPr>
        <w:fldChar w:fldCharType="separate"/>
      </w:r>
      <w:r w:rsidR="003A65F3" w:rsidRPr="003A65F3">
        <w:rPr>
          <w:rFonts w:ascii="Palatino Linotype" w:eastAsia="Arial" w:hAnsi="Palatino Linotype"/>
          <w:noProof/>
          <w:snapToGrid w:val="0"/>
          <w:color w:val="000000"/>
          <w:sz w:val="24"/>
          <w:szCs w:val="24"/>
          <w:lang w:val="en-US" w:eastAsia="de-DE" w:bidi="en-US"/>
        </w:rPr>
        <w:t>(Prasetiawati, 2020)</w:t>
      </w:r>
      <w:r w:rsidR="00765E80">
        <w:rPr>
          <w:rFonts w:ascii="Palatino Linotype" w:eastAsia="Arial" w:hAnsi="Palatino Linotype"/>
          <w:snapToGrid w:val="0"/>
          <w:color w:val="000000"/>
          <w:sz w:val="24"/>
          <w:szCs w:val="24"/>
          <w:lang w:val="en-US" w:eastAsia="de-DE" w:bidi="en-US"/>
        </w:rPr>
        <w:fldChar w:fldCharType="end"/>
      </w:r>
      <w:r w:rsidRPr="00E21901">
        <w:rPr>
          <w:rFonts w:ascii="Palatino Linotype" w:eastAsia="Arial" w:hAnsi="Palatino Linotype"/>
          <w:snapToGrid w:val="0"/>
          <w:color w:val="000000"/>
          <w:sz w:val="24"/>
          <w:szCs w:val="24"/>
          <w:lang w:val="en-US" w:eastAsia="de-DE" w:bidi="en-US"/>
        </w:rPr>
        <w:t xml:space="preserve">, organizations seek to maintain legitimacy by adhering to societal norms and expectations, which in turn supports their CSR efforts. The participants’ insights into the importance of transparent reporting practices underscore this perspective, as they facilitate trust-building with stakeholders and create a favorable environment for CSR initiatives. </w:t>
      </w:r>
    </w:p>
    <w:p w14:paraId="195771C3" w14:textId="77777777" w:rsidR="00E21901" w:rsidRPr="00E21901" w:rsidRDefault="00000000" w:rsidP="00E21901">
      <w:pPr>
        <w:widowControl/>
        <w:adjustRightInd w:val="0"/>
        <w:snapToGrid w:val="0"/>
        <w:spacing w:line="276" w:lineRule="auto"/>
        <w:ind w:firstLine="567"/>
        <w:jc w:val="both"/>
        <w:rPr>
          <w:rFonts w:ascii="Palatino Linotype" w:eastAsia="Arial" w:hAnsi="Palatino Linotype"/>
          <w:snapToGrid w:val="0"/>
          <w:color w:val="000000"/>
          <w:sz w:val="24"/>
          <w:szCs w:val="24"/>
          <w:lang w:val="en-US" w:eastAsia="de-DE" w:bidi="en-US"/>
        </w:rPr>
      </w:pPr>
      <w:r w:rsidRPr="00E21901">
        <w:rPr>
          <w:rFonts w:ascii="Palatino Linotype" w:eastAsia="Arial" w:hAnsi="Palatino Linotype"/>
          <w:snapToGrid w:val="0"/>
          <w:color w:val="000000"/>
          <w:sz w:val="24"/>
          <w:szCs w:val="24"/>
          <w:lang w:val="en-US" w:eastAsia="de-DE" w:bidi="en-US"/>
        </w:rPr>
        <w:t>Furthermore, the emphasis on continuous improvement and adaptability of GRC policies in response to evolving sustainability challenges aligns with the dynamic capabilities framework proposed by</w:t>
      </w:r>
      <w:r w:rsidR="00765E80">
        <w:rPr>
          <w:rFonts w:ascii="Palatino Linotype" w:eastAsia="Arial" w:hAnsi="Palatino Linotype"/>
          <w:snapToGrid w:val="0"/>
          <w:color w:val="000000"/>
          <w:sz w:val="24"/>
          <w:szCs w:val="24"/>
          <w:lang w:val="en-US" w:eastAsia="de-DE" w:bidi="en-US"/>
        </w:rPr>
        <w:t xml:space="preserve"> </w:t>
      </w:r>
      <w:r w:rsidR="003A65F3">
        <w:rPr>
          <w:rFonts w:ascii="Palatino Linotype" w:eastAsia="Arial" w:hAnsi="Palatino Linotype"/>
          <w:snapToGrid w:val="0"/>
          <w:color w:val="000000"/>
          <w:sz w:val="24"/>
          <w:szCs w:val="24"/>
          <w:lang w:val="en-US" w:eastAsia="de-DE" w:bidi="en-US"/>
        </w:rPr>
        <w:fldChar w:fldCharType="begin" w:fldLock="1"/>
      </w:r>
      <w:r w:rsidR="003A65F3">
        <w:rPr>
          <w:rFonts w:ascii="Palatino Linotype" w:eastAsia="Arial" w:hAnsi="Palatino Linotype"/>
          <w:snapToGrid w:val="0"/>
          <w:color w:val="000000"/>
          <w:sz w:val="24"/>
          <w:szCs w:val="24"/>
          <w:lang w:val="en-US" w:eastAsia="de-DE" w:bidi="en-US"/>
        </w:rPr>
        <w:instrText>ADDIN CSL_CITATION {"citationItems":[{"id":"ITEM-1","itemData":{"ISSN":"0040-1625","author":[{"dropping-particle":"","family":"Junaid","given":"Muhammad","non-dropping-particle":"","parse-names":false,"suffix":""},{"dropping-particle":"","family":"Zhang","given":"Qingyu","non-dropping-particle":"","parse-names":false,"suffix":""},{"dropping-particle":"","family":"Cao","given":"Mei","non-dropping-particle":"","parse-names":false,"suffix":""},{"dropping-particle":"","family":"Luqman","given":"Adeel","non-dropping-particle":"","parse-names":false,"suffix":""}],"container-title":"Technological Forecasting and Social Change","id":"ITEM-1","issued":{"date-parts":[["2023"]]},"page":"122828","publisher":"Elsevier","title":"Nexus between technology enabled supply chain dynamic capabilities, integration, resilience, and sustainable performance: An empirical examination of healthcare organizations","type":"article-journal","volume":"196"},"uris":["http://www.mendeley.com/documents/?uuid=4e127bda-494e-48be-b920-e77146f4ce32"]}],"mendeley":{"formattedCitation":"(Junaid et al., 2023)","plainTextFormattedCitation":"(Junaid et al., 2023)","previouslyFormattedCitation":"[23]"},"properties":{"noteIndex":0},"schema":"https://github.com/citation-style-language/schema/raw/master/csl-citation.json"}</w:instrText>
      </w:r>
      <w:r w:rsidR="003A65F3">
        <w:rPr>
          <w:rFonts w:ascii="Palatino Linotype" w:eastAsia="Arial" w:hAnsi="Palatino Linotype"/>
          <w:snapToGrid w:val="0"/>
          <w:color w:val="000000"/>
          <w:sz w:val="24"/>
          <w:szCs w:val="24"/>
          <w:lang w:val="en-US" w:eastAsia="de-DE" w:bidi="en-US"/>
        </w:rPr>
        <w:fldChar w:fldCharType="separate"/>
      </w:r>
      <w:r w:rsidR="003A65F3" w:rsidRPr="003A65F3">
        <w:rPr>
          <w:rFonts w:ascii="Palatino Linotype" w:eastAsia="Arial" w:hAnsi="Palatino Linotype"/>
          <w:noProof/>
          <w:snapToGrid w:val="0"/>
          <w:color w:val="000000"/>
          <w:sz w:val="24"/>
          <w:szCs w:val="24"/>
          <w:lang w:val="en-US" w:eastAsia="de-DE" w:bidi="en-US"/>
        </w:rPr>
        <w:t>(Junaid et al., 2023)</w:t>
      </w:r>
      <w:r w:rsidR="003A65F3">
        <w:rPr>
          <w:rFonts w:ascii="Palatino Linotype" w:eastAsia="Arial" w:hAnsi="Palatino Linotype"/>
          <w:snapToGrid w:val="0"/>
          <w:color w:val="000000"/>
          <w:sz w:val="24"/>
          <w:szCs w:val="24"/>
          <w:lang w:val="en-US" w:eastAsia="de-DE" w:bidi="en-US"/>
        </w:rPr>
        <w:fldChar w:fldCharType="end"/>
      </w:r>
      <w:r w:rsidRPr="00E21901">
        <w:rPr>
          <w:rFonts w:ascii="Palatino Linotype" w:eastAsia="Arial" w:hAnsi="Palatino Linotype"/>
          <w:snapToGrid w:val="0"/>
          <w:color w:val="000000"/>
          <w:sz w:val="24"/>
          <w:szCs w:val="24"/>
          <w:lang w:val="en-US" w:eastAsia="de-DE" w:bidi="en-US"/>
        </w:rPr>
        <w:t>. The study’s findings that organizations recognize the need for ongoing evaluation and refinement of GRC practices highlight the importance of dynamic capabilities in fostering resilience and responsiveness in the face of changing environmental and social contexts</w:t>
      </w:r>
      <w:r w:rsidR="003A65F3">
        <w:rPr>
          <w:rFonts w:ascii="Palatino Linotype" w:eastAsia="Arial" w:hAnsi="Palatino Linotype"/>
          <w:snapToGrid w:val="0"/>
          <w:color w:val="000000"/>
          <w:sz w:val="24"/>
          <w:szCs w:val="24"/>
          <w:lang w:val="en-US" w:eastAsia="de-DE" w:bidi="en-US"/>
        </w:rPr>
        <w:t xml:space="preserve"> </w:t>
      </w:r>
      <w:r w:rsidR="003A65F3">
        <w:rPr>
          <w:rFonts w:ascii="Palatino Linotype" w:eastAsia="Arial" w:hAnsi="Palatino Linotype"/>
          <w:snapToGrid w:val="0"/>
          <w:color w:val="000000"/>
          <w:sz w:val="24"/>
          <w:szCs w:val="24"/>
          <w:lang w:val="en-US" w:eastAsia="de-DE" w:bidi="en-US"/>
        </w:rPr>
        <w:fldChar w:fldCharType="begin" w:fldLock="1"/>
      </w:r>
      <w:r w:rsidR="003A65F3">
        <w:rPr>
          <w:rFonts w:ascii="Palatino Linotype" w:eastAsia="Arial" w:hAnsi="Palatino Linotype"/>
          <w:snapToGrid w:val="0"/>
          <w:color w:val="000000"/>
          <w:sz w:val="24"/>
          <w:szCs w:val="24"/>
          <w:lang w:val="en-US" w:eastAsia="de-DE" w:bidi="en-US"/>
        </w:rPr>
        <w:instrText>ADDIN CSL_CITATION {"citationItems":[{"id":"ITEM-1","itemData":{"ISSN":"1360-3124","author":[{"dropping-particle":"","family":"Sarid","given":"Ariel","non-dropping-particle":"","parse-names":false,"suffix":""}],"container-title":"International Journal of Leadership in Education","id":"ITEM-1","issued":{"date-parts":[["2021"]]},"page":"1-22","publisher":"Taylor &amp; Francis","title":"Crossing boundaries: Connecting adaptive leadership and social justice leadership for educational contexts","type":"article-journal"},"uris":["http://www.mendeley.com/documents/?uuid=b5575552-f3f1-4afd-b505-6dae596a82bd"]}],"mendeley":{"formattedCitation":"(Sarid, 2021)","plainTextFormattedCitation":"(Sarid, 2021)","previouslyFormattedCitation":"[24]"},"properties":{"noteIndex":0},"schema":"https://github.com/citation-style-language/schema/raw/master/csl-citation.json"}</w:instrText>
      </w:r>
      <w:r w:rsidR="003A65F3">
        <w:rPr>
          <w:rFonts w:ascii="Palatino Linotype" w:eastAsia="Arial" w:hAnsi="Palatino Linotype"/>
          <w:snapToGrid w:val="0"/>
          <w:color w:val="000000"/>
          <w:sz w:val="24"/>
          <w:szCs w:val="24"/>
          <w:lang w:val="en-US" w:eastAsia="de-DE" w:bidi="en-US"/>
        </w:rPr>
        <w:fldChar w:fldCharType="separate"/>
      </w:r>
      <w:r w:rsidR="003A65F3" w:rsidRPr="003A65F3">
        <w:rPr>
          <w:rFonts w:ascii="Palatino Linotype" w:eastAsia="Arial" w:hAnsi="Palatino Linotype"/>
          <w:noProof/>
          <w:snapToGrid w:val="0"/>
          <w:color w:val="000000"/>
          <w:sz w:val="24"/>
          <w:szCs w:val="24"/>
          <w:lang w:val="en-US" w:eastAsia="de-DE" w:bidi="en-US"/>
        </w:rPr>
        <w:t>(Sarid, 2021)</w:t>
      </w:r>
      <w:r w:rsidR="003A65F3">
        <w:rPr>
          <w:rFonts w:ascii="Palatino Linotype" w:eastAsia="Arial" w:hAnsi="Palatino Linotype"/>
          <w:snapToGrid w:val="0"/>
          <w:color w:val="000000"/>
          <w:sz w:val="24"/>
          <w:szCs w:val="24"/>
          <w:lang w:val="en-US" w:eastAsia="de-DE" w:bidi="en-US"/>
        </w:rPr>
        <w:fldChar w:fldCharType="end"/>
      </w:r>
      <w:r w:rsidRPr="00E21901">
        <w:rPr>
          <w:rFonts w:ascii="Palatino Linotype" w:eastAsia="Arial" w:hAnsi="Palatino Linotype"/>
          <w:snapToGrid w:val="0"/>
          <w:color w:val="000000"/>
          <w:sz w:val="24"/>
          <w:szCs w:val="24"/>
          <w:lang w:val="en-US" w:eastAsia="de-DE" w:bidi="en-US"/>
        </w:rPr>
        <w:t>. This theoretical perspective underscores that organizations capable of adapting their GRC frameworks are better equipped to tackle future sustainability challenges, reinforcing the need for flexibility in policy implementation</w:t>
      </w:r>
      <w:r w:rsidR="003A65F3">
        <w:rPr>
          <w:rFonts w:ascii="Palatino Linotype" w:eastAsia="Arial" w:hAnsi="Palatino Linotype"/>
          <w:snapToGrid w:val="0"/>
          <w:color w:val="000000"/>
          <w:sz w:val="24"/>
          <w:szCs w:val="24"/>
          <w:lang w:val="en-US" w:eastAsia="de-DE" w:bidi="en-US"/>
        </w:rPr>
        <w:t xml:space="preserve"> </w:t>
      </w:r>
      <w:r w:rsidR="003A65F3">
        <w:rPr>
          <w:rFonts w:ascii="Palatino Linotype" w:eastAsia="Arial" w:hAnsi="Palatino Linotype"/>
          <w:snapToGrid w:val="0"/>
          <w:color w:val="000000"/>
          <w:sz w:val="24"/>
          <w:szCs w:val="24"/>
          <w:lang w:val="en-US" w:eastAsia="de-DE" w:bidi="en-US"/>
        </w:rPr>
        <w:fldChar w:fldCharType="begin" w:fldLock="1"/>
      </w:r>
      <w:r w:rsidR="003A65F3">
        <w:rPr>
          <w:rFonts w:ascii="Palatino Linotype" w:eastAsia="Arial" w:hAnsi="Palatino Linotype"/>
          <w:snapToGrid w:val="0"/>
          <w:color w:val="000000"/>
          <w:sz w:val="24"/>
          <w:szCs w:val="24"/>
          <w:lang w:val="en-US" w:eastAsia="de-DE" w:bidi="en-US"/>
        </w:rPr>
        <w:instrText>ADDIN CSL_CITATION {"citationItems":[{"id":"ITEM-1","itemData":{"DOI":"10.1080/02188791.2020.1758032","ISSN":"17426855","abstract":"Like their global counterparts, e-learning platforms are an indispensable technology in many Asia Pacific tertiary institutions. Despite its widespread adoption, e-learning is still being criticized as merely mirroring traditional classroom formats but in digital forms. If tertiary institutions in Asia Pacific wish to harness e-learning and be globally recognized, they need to first overcome such criticisms by understanding what drives students’ satisfaction. Drawing on the community of inquiry (COI) model, this study attempts to determine the factors that underpin students’ satisfaction with their e-learning experience. Surveying students from a Malaysian university, this study shows that while cognitive presence and social presence influence e-learning satisfaction directly, teaching presence is mediated by cognitive and social presence. Furthermore, two environmental factors, content quality and perceived ease-of-use, moderate the relationships among the three presences and e-learning satisfaction. We argue that this extended and more comprehensive model would help educators better understand e-learning’s use as an effective pedagogical platform. We discuss the implications of the findings for higher education institutions and offer directions for future research.","author":[{"dropping-particle":"","family":"Lee","given":"Richard","non-dropping-particle":"","parse-names":false,"suffix":""},{"dropping-particle":"","family":"Hoe Looi","given":"Kim","non-dropping-particle":"","parse-names":false,"suffix":""},{"dropping-particle":"","family":"Faulkner","given":"Margaret","non-dropping-particle":"","parse-names":false,"suffix":""},{"dropping-particle":"","family":"Neale","given":"Larry","non-dropping-particle":"","parse-names":false,"suffix":""}],"container-title":"Asia Pacific Journal of Education","id":"ITEM-1","issue":"1","issued":{"date-parts":[["2021"]]},"title":"The moderating influence of environment factors in an extended community of inquiry model of e-learning","type":"article-journal","volume":"41"},"uris":["http://www.mendeley.com/documents/?uuid=8b83fffa-11e8-4220-8940-03f84b786e81"]}],"mendeley":{"formattedCitation":"(Lee et al., 2021)","plainTextFormattedCitation":"(Lee et al., 2021)","previouslyFormattedCitation":"[25]"},"properties":{"noteIndex":0},"schema":"https://github.com/citation-style-language/schema/raw/master/csl-citation.json"}</w:instrText>
      </w:r>
      <w:r w:rsidR="003A65F3">
        <w:rPr>
          <w:rFonts w:ascii="Palatino Linotype" w:eastAsia="Arial" w:hAnsi="Palatino Linotype"/>
          <w:snapToGrid w:val="0"/>
          <w:color w:val="000000"/>
          <w:sz w:val="24"/>
          <w:szCs w:val="24"/>
          <w:lang w:val="en-US" w:eastAsia="de-DE" w:bidi="en-US"/>
        </w:rPr>
        <w:fldChar w:fldCharType="separate"/>
      </w:r>
      <w:r w:rsidR="003A65F3" w:rsidRPr="003A65F3">
        <w:rPr>
          <w:rFonts w:ascii="Palatino Linotype" w:eastAsia="Arial" w:hAnsi="Palatino Linotype"/>
          <w:noProof/>
          <w:snapToGrid w:val="0"/>
          <w:color w:val="000000"/>
          <w:sz w:val="24"/>
          <w:szCs w:val="24"/>
          <w:lang w:val="en-US" w:eastAsia="de-DE" w:bidi="en-US"/>
        </w:rPr>
        <w:t>(Lee et al., 2021)</w:t>
      </w:r>
      <w:r w:rsidR="003A65F3">
        <w:rPr>
          <w:rFonts w:ascii="Palatino Linotype" w:eastAsia="Arial" w:hAnsi="Palatino Linotype"/>
          <w:snapToGrid w:val="0"/>
          <w:color w:val="000000"/>
          <w:sz w:val="24"/>
          <w:szCs w:val="24"/>
          <w:lang w:val="en-US" w:eastAsia="de-DE" w:bidi="en-US"/>
        </w:rPr>
        <w:fldChar w:fldCharType="end"/>
      </w:r>
      <w:r w:rsidRPr="00E21901">
        <w:rPr>
          <w:rFonts w:ascii="Palatino Linotype" w:eastAsia="Arial" w:hAnsi="Palatino Linotype"/>
          <w:snapToGrid w:val="0"/>
          <w:color w:val="000000"/>
          <w:sz w:val="24"/>
          <w:szCs w:val="24"/>
          <w:lang w:val="en-US" w:eastAsia="de-DE" w:bidi="en-US"/>
        </w:rPr>
        <w:t>.</w:t>
      </w:r>
    </w:p>
    <w:p w14:paraId="4AB408AD" w14:textId="77777777" w:rsidR="00DF6DDC" w:rsidRPr="006B7949" w:rsidRDefault="00000000" w:rsidP="00E21901">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r w:rsidRPr="00E21901">
        <w:rPr>
          <w:rFonts w:ascii="Palatino Linotype" w:eastAsia="Arial" w:hAnsi="Palatino Linotype"/>
          <w:snapToGrid w:val="0"/>
          <w:color w:val="000000"/>
          <w:sz w:val="24"/>
          <w:szCs w:val="24"/>
          <w:lang w:val="en-US" w:eastAsia="de-DE" w:bidi="en-US"/>
        </w:rPr>
        <w:lastRenderedPageBreak/>
        <w:t>In summary, this research's findings affirm the relevance of existing theoretical frameworks and provide new insights into the interplay between GRC policies and sustainability/CSR outcomes. The alignment of the results with prior studies and theoretical concepts highlights the significance of comprehensive GRC frameworks in achieving sustainable practices and fostering a culture of corporate responsibility. This analysis underscores organizations' need to leverage governance, risk management, and compliance as interconnected components that can effectively drive sustainability and CSR, ultimately leading to long-term success and positive societal impact.</w:t>
      </w:r>
    </w:p>
    <w:p w14:paraId="77BDAF95" w14:textId="77777777" w:rsidR="00627989" w:rsidRPr="006B7949" w:rsidRDefault="00000000" w:rsidP="00EE0A43">
      <w:pPr>
        <w:pStyle w:val="ListParagraph"/>
        <w:adjustRightInd w:val="0"/>
        <w:snapToGrid w:val="0"/>
        <w:spacing w:before="240" w:after="120" w:line="276" w:lineRule="auto"/>
        <w:ind w:left="0"/>
        <w:outlineLvl w:val="0"/>
        <w:rPr>
          <w:rFonts w:ascii="Palatino Linotype" w:eastAsia="Arial" w:hAnsi="Palatino Linotype"/>
          <w:b/>
          <w:bCs/>
        </w:rPr>
      </w:pPr>
      <w:r w:rsidRPr="00944E76">
        <w:rPr>
          <w:rFonts w:ascii="Palatino Linotype" w:hAnsi="Palatino Linotype"/>
          <w:b/>
          <w:snapToGrid w:val="0"/>
          <w:color w:val="000000"/>
          <w:szCs w:val="28"/>
          <w:lang w:eastAsia="zh-CN" w:bidi="en-US"/>
        </w:rPr>
        <w:t>CONCLUSION</w:t>
      </w:r>
      <w:r w:rsidRPr="006B7949">
        <w:rPr>
          <w:rFonts w:ascii="Palatino Linotype" w:eastAsia="Arial" w:hAnsi="Palatino Linotype"/>
          <w:b/>
          <w:bCs/>
        </w:rPr>
        <w:t xml:space="preserve"> </w:t>
      </w:r>
    </w:p>
    <w:p w14:paraId="4305E60F" w14:textId="77777777" w:rsidR="00E21901" w:rsidRPr="00E21901" w:rsidRDefault="00000000" w:rsidP="00E21901">
      <w:pPr>
        <w:widowControl/>
        <w:adjustRightInd w:val="0"/>
        <w:snapToGrid w:val="0"/>
        <w:spacing w:line="276" w:lineRule="auto"/>
        <w:ind w:firstLine="567"/>
        <w:jc w:val="both"/>
        <w:rPr>
          <w:rFonts w:ascii="Palatino Linotype" w:eastAsia="Times New Roman" w:hAnsi="Palatino Linotype"/>
          <w:snapToGrid w:val="0"/>
          <w:color w:val="000000"/>
          <w:sz w:val="24"/>
          <w:szCs w:val="28"/>
          <w:lang w:val="en-US" w:eastAsia="de-DE" w:bidi="en-US"/>
        </w:rPr>
      </w:pPr>
      <w:r w:rsidRPr="00E21901">
        <w:rPr>
          <w:rFonts w:ascii="Palatino Linotype" w:eastAsia="Times New Roman" w:hAnsi="Palatino Linotype"/>
          <w:snapToGrid w:val="0"/>
          <w:color w:val="000000"/>
          <w:sz w:val="24"/>
          <w:szCs w:val="28"/>
          <w:lang w:val="en-US" w:eastAsia="de-DE" w:bidi="en-US"/>
        </w:rPr>
        <w:t>In conclusion, the analysis of the research findings highlights the critical role that Governance, Risk Management, and Compliance (GRC) policies play in supporting sustainability and corporate social responsibility (CSR). The integration of effective GRC frameworks facilitates compliance with legal and ethical standards and enhances organizational performance in sustainability initiatives. The alignment of the study's results with existing theoretical frameworks reinforces the notion that organizations leveraging robust GRC practices can navigate environmental and social challenges more effectively, ultimately leading to improved CSR outcomes. By establishing strong governance structures, adopting proactive risk management strategies, and prioritizing compliance, organizations can cultivate a culture of sustainability that resonates with stakeholders and enhances their reputation in the marketplace.</w:t>
      </w:r>
    </w:p>
    <w:p w14:paraId="54579BE6" w14:textId="77777777" w:rsidR="00CC090A" w:rsidRDefault="00000000" w:rsidP="00E21901">
      <w:pPr>
        <w:widowControl/>
        <w:adjustRightInd w:val="0"/>
        <w:snapToGrid w:val="0"/>
        <w:spacing w:line="276" w:lineRule="auto"/>
        <w:ind w:firstLine="567"/>
        <w:jc w:val="both"/>
        <w:rPr>
          <w:rFonts w:ascii="Palatino Linotype" w:eastAsia="Times New Roman" w:hAnsi="Palatino Linotype"/>
          <w:snapToGrid w:val="0"/>
          <w:color w:val="000000"/>
          <w:sz w:val="24"/>
          <w:szCs w:val="28"/>
          <w:lang w:val="en-US" w:eastAsia="de-DE" w:bidi="en-US"/>
        </w:rPr>
      </w:pPr>
      <w:r w:rsidRPr="00E21901">
        <w:rPr>
          <w:rFonts w:ascii="Palatino Linotype" w:eastAsia="Times New Roman" w:hAnsi="Palatino Linotype"/>
          <w:snapToGrid w:val="0"/>
          <w:color w:val="000000"/>
          <w:sz w:val="24"/>
          <w:szCs w:val="28"/>
          <w:lang w:val="en-US" w:eastAsia="de-DE" w:bidi="en-US"/>
        </w:rPr>
        <w:t>Based on the insights gained from this research, future studies should focus on longitudinal analyses to assess the long-term impacts of GRC policies on sustainability and CSR performance. Additionally, exploring industry-specific case studies to understand the unique challenges and best practices related to GRC implementation across different sectors would be beneficial. By examining the nuances of GRC frameworks in various contexts, researchers can identify tailored strategies that organizations can adopt to enhance their sustainability efforts. Furthermore, future research should consider the evolving landscape of regulatory requirements and stakeholder expectations, investigating how organizations can remain agile and responsive to these changes while maintaining a commitment to sustainability and responsible corporate practices.</w:t>
      </w:r>
    </w:p>
    <w:p w14:paraId="4004A736" w14:textId="77777777" w:rsidR="00627989" w:rsidRPr="006B7949" w:rsidRDefault="00000000" w:rsidP="00C77739">
      <w:pPr>
        <w:pStyle w:val="ListParagraph"/>
        <w:adjustRightInd w:val="0"/>
        <w:snapToGrid w:val="0"/>
        <w:spacing w:before="240" w:after="120" w:line="276" w:lineRule="auto"/>
        <w:ind w:left="0"/>
        <w:jc w:val="both"/>
        <w:outlineLvl w:val="0"/>
        <w:rPr>
          <w:rFonts w:ascii="Palatino Linotype" w:hAnsi="Palatino Linotype"/>
          <w:b/>
          <w:snapToGrid w:val="0"/>
          <w:color w:val="000000"/>
          <w:szCs w:val="28"/>
          <w:lang w:eastAsia="zh-CN" w:bidi="en-US"/>
        </w:rPr>
      </w:pPr>
      <w:r w:rsidRPr="006B7949">
        <w:rPr>
          <w:rFonts w:ascii="Palatino Linotype" w:hAnsi="Palatino Linotype"/>
          <w:b/>
          <w:snapToGrid w:val="0"/>
          <w:color w:val="000000"/>
          <w:szCs w:val="28"/>
          <w:lang w:eastAsia="zh-CN" w:bidi="en-US"/>
        </w:rPr>
        <w:t>REFERENCES</w:t>
      </w:r>
      <w:r w:rsidR="00A8739F">
        <w:rPr>
          <w:rFonts w:ascii="Palatino Linotype" w:hAnsi="Palatino Linotype"/>
          <w:b/>
          <w:snapToGrid w:val="0"/>
          <w:color w:val="000000"/>
          <w:szCs w:val="28"/>
          <w:lang w:eastAsia="zh-CN" w:bidi="en-US"/>
        </w:rPr>
        <w:t xml:space="preserve"> </w:t>
      </w:r>
    </w:p>
    <w:p w14:paraId="0D8FA899" w14:textId="77777777" w:rsidR="003A65F3" w:rsidRPr="003A65F3" w:rsidRDefault="00627989" w:rsidP="003A65F3">
      <w:pPr>
        <w:autoSpaceDE w:val="0"/>
        <w:autoSpaceDN w:val="0"/>
        <w:adjustRightInd w:val="0"/>
        <w:spacing w:line="240" w:lineRule="auto"/>
        <w:ind w:left="480" w:hanging="480"/>
        <w:jc w:val="both"/>
        <w:rPr>
          <w:rFonts w:ascii="Palatino Linotype" w:hAnsi="Palatino Linotype"/>
          <w:noProof/>
          <w:sz w:val="24"/>
          <w:szCs w:val="24"/>
        </w:rPr>
      </w:pPr>
      <w:r w:rsidRPr="006B7949">
        <w:rPr>
          <w:rFonts w:ascii="Palatino Linotype" w:hAnsi="Palatino Linotype" w:cs="Arial"/>
          <w:sz w:val="28"/>
          <w:szCs w:val="28"/>
          <w:lang w:val="en-ID"/>
        </w:rPr>
        <w:fldChar w:fldCharType="begin" w:fldLock="1"/>
      </w:r>
      <w:r w:rsidRPr="006B7949">
        <w:rPr>
          <w:rFonts w:ascii="Palatino Linotype" w:hAnsi="Palatino Linotype" w:cs="Arial"/>
          <w:sz w:val="28"/>
          <w:szCs w:val="28"/>
          <w:lang w:val="en-ID"/>
        </w:rPr>
        <w:instrText xml:space="preserve">ADDIN Mendeley Bibliography CSL_BIBLIOGRAPHY </w:instrText>
      </w:r>
      <w:r w:rsidRPr="006B7949">
        <w:rPr>
          <w:rFonts w:ascii="Palatino Linotype" w:hAnsi="Palatino Linotype" w:cs="Arial"/>
          <w:sz w:val="28"/>
          <w:szCs w:val="28"/>
          <w:lang w:val="en-ID"/>
        </w:rPr>
        <w:fldChar w:fldCharType="separate"/>
      </w:r>
      <w:r w:rsidRPr="003A65F3">
        <w:rPr>
          <w:rFonts w:ascii="Palatino Linotype" w:hAnsi="Palatino Linotype"/>
          <w:noProof/>
          <w:sz w:val="24"/>
          <w:szCs w:val="24"/>
        </w:rPr>
        <w:t xml:space="preserve">Ap. Moreira, G., &amp; Wanda Rutkoskwi, E. (2021). Zero Waste Strategy for a Green Campus. </w:t>
      </w:r>
      <w:r w:rsidRPr="003A65F3">
        <w:rPr>
          <w:rFonts w:ascii="Palatino Linotype" w:hAnsi="Palatino Linotype"/>
          <w:i/>
          <w:iCs/>
          <w:noProof/>
          <w:sz w:val="24"/>
          <w:szCs w:val="24"/>
        </w:rPr>
        <w:t>Journal of Sustainability Perspectives</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1</w:t>
      </w:r>
      <w:r w:rsidRPr="003A65F3">
        <w:rPr>
          <w:rFonts w:ascii="Palatino Linotype" w:hAnsi="Palatino Linotype"/>
          <w:noProof/>
          <w:sz w:val="24"/>
          <w:szCs w:val="24"/>
        </w:rPr>
        <w:t>, 367–373. https://doi.org/10.14710/jsp.2021.12027</w:t>
      </w:r>
    </w:p>
    <w:p w14:paraId="5B43B139"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lastRenderedPageBreak/>
        <w:t xml:space="preserve">Awasthi, A. K., Cheela, V. R. S., D’Adamo, I., Iacovidou, E., Islam, M. R., Johnson, M., Miller, T. R., Parajuly, K., Parchomenko, A., Radhakrishan, L., Zhao, M., Zhang, C., &amp; Li, J. (2021). Zero waste approach towards a sustainable waste management. </w:t>
      </w:r>
      <w:r w:rsidRPr="003A65F3">
        <w:rPr>
          <w:rFonts w:ascii="Palatino Linotype" w:hAnsi="Palatino Linotype"/>
          <w:i/>
          <w:iCs/>
          <w:noProof/>
          <w:sz w:val="24"/>
          <w:szCs w:val="24"/>
        </w:rPr>
        <w:t>Resources, Environment and Sustainability</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3</w:t>
      </w:r>
      <w:r w:rsidRPr="003A65F3">
        <w:rPr>
          <w:rFonts w:ascii="Palatino Linotype" w:hAnsi="Palatino Linotype"/>
          <w:noProof/>
          <w:sz w:val="24"/>
          <w:szCs w:val="24"/>
        </w:rPr>
        <w:t>(January), 100014. https://doi.org/10.1016/j.resenv.2021.100014</w:t>
      </w:r>
    </w:p>
    <w:p w14:paraId="4EF2C806"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Belderbos, R., Tong, T. W., &amp; Wu, S. (2020). Portfolio configuration and foreign entry decisions: A juxtaposition of real options and risk diversification theories. </w:t>
      </w:r>
      <w:r w:rsidRPr="003A65F3">
        <w:rPr>
          <w:rFonts w:ascii="Palatino Linotype" w:hAnsi="Palatino Linotype"/>
          <w:i/>
          <w:iCs/>
          <w:noProof/>
          <w:sz w:val="24"/>
          <w:szCs w:val="24"/>
        </w:rPr>
        <w:t>Strategic Management Journal</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41</w:t>
      </w:r>
      <w:r w:rsidRPr="003A65F3">
        <w:rPr>
          <w:rFonts w:ascii="Palatino Linotype" w:hAnsi="Palatino Linotype"/>
          <w:noProof/>
          <w:sz w:val="24"/>
          <w:szCs w:val="24"/>
        </w:rPr>
        <w:t>(7), 1191–1209.</w:t>
      </w:r>
    </w:p>
    <w:p w14:paraId="52F072BC"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Bibri, S. E., Krogstie, J., &amp; Kärrholm, M. (2020). Compact city planning and development: Emerging practices and strategies for achieving sustainability goals. </w:t>
      </w:r>
      <w:r w:rsidRPr="003A65F3">
        <w:rPr>
          <w:rFonts w:ascii="Palatino Linotype" w:hAnsi="Palatino Linotype"/>
          <w:i/>
          <w:iCs/>
          <w:noProof/>
          <w:sz w:val="24"/>
          <w:szCs w:val="24"/>
        </w:rPr>
        <w:t>Developments in the Built Environment</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4</w:t>
      </w:r>
      <w:r w:rsidRPr="003A65F3">
        <w:rPr>
          <w:rFonts w:ascii="Palatino Linotype" w:hAnsi="Palatino Linotype"/>
          <w:noProof/>
          <w:sz w:val="24"/>
          <w:szCs w:val="24"/>
        </w:rPr>
        <w:t>, 100021.</w:t>
      </w:r>
    </w:p>
    <w:p w14:paraId="6D6E66FE"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Chaves-Avila, R., &amp; Gallego-Bono, J. R. (2020). Transformative policies for the social and solidarity economy: The new generation of public policies fostering the social economy in order to achieve sustainable development goals. The European and Spanish cases. </w:t>
      </w:r>
      <w:r w:rsidRPr="003A65F3">
        <w:rPr>
          <w:rFonts w:ascii="Palatino Linotype" w:hAnsi="Palatino Linotype"/>
          <w:i/>
          <w:iCs/>
          <w:noProof/>
          <w:sz w:val="24"/>
          <w:szCs w:val="24"/>
        </w:rPr>
        <w:t>Sustainability</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12</w:t>
      </w:r>
      <w:r w:rsidRPr="003A65F3">
        <w:rPr>
          <w:rFonts w:ascii="Palatino Linotype" w:hAnsi="Palatino Linotype"/>
          <w:noProof/>
          <w:sz w:val="24"/>
          <w:szCs w:val="24"/>
        </w:rPr>
        <w:t>(10), 4059.</w:t>
      </w:r>
    </w:p>
    <w:p w14:paraId="3F72102A"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Chen, Z., Cao, H., Deng, Y., Gao, X., Piao, J., Xu, F., Zhang, Y., &amp; Li, Y. (2021). Learning from home: A mixed-methods analysis of live streaming based remote education experience in chinese colleges during the covid-19 pandemic. </w:t>
      </w:r>
      <w:r w:rsidRPr="003A65F3">
        <w:rPr>
          <w:rFonts w:ascii="Palatino Linotype" w:hAnsi="Palatino Linotype"/>
          <w:i/>
          <w:iCs/>
          <w:noProof/>
          <w:sz w:val="24"/>
          <w:szCs w:val="24"/>
        </w:rPr>
        <w:t>Proceedings of the 2021 CHI Conference on Human Factors in Computing Systems</w:t>
      </w:r>
      <w:r w:rsidRPr="003A65F3">
        <w:rPr>
          <w:rFonts w:ascii="Palatino Linotype" w:hAnsi="Palatino Linotype"/>
          <w:noProof/>
          <w:sz w:val="24"/>
          <w:szCs w:val="24"/>
        </w:rPr>
        <w:t>, 1–16.</w:t>
      </w:r>
    </w:p>
    <w:p w14:paraId="15E2F8B2"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D’Cruze, N., Galarza, F. E. R., Broche, O., El Bizri, H. R., Megson, S., Elwin, A., Machado, F. C., Norrey, J., Coulthard, E., &amp; Megson, D. (2021). Characterizing trade at the largest wildlife market of Amazonian Peru. </w:t>
      </w:r>
      <w:r w:rsidRPr="003A65F3">
        <w:rPr>
          <w:rFonts w:ascii="Palatino Linotype" w:hAnsi="Palatino Linotype"/>
          <w:i/>
          <w:iCs/>
          <w:noProof/>
          <w:sz w:val="24"/>
          <w:szCs w:val="24"/>
        </w:rPr>
        <w:t>Global Ecology and Conservation</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28</w:t>
      </w:r>
      <w:r w:rsidRPr="003A65F3">
        <w:rPr>
          <w:rFonts w:ascii="Palatino Linotype" w:hAnsi="Palatino Linotype"/>
          <w:noProof/>
          <w:sz w:val="24"/>
          <w:szCs w:val="24"/>
        </w:rPr>
        <w:t>, e01631.</w:t>
      </w:r>
    </w:p>
    <w:p w14:paraId="3F6B8B8C"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Fanjoy, M., &amp; Bragg, B. (2019). Embracing complexity: Co-creation with retired immigrant women. </w:t>
      </w:r>
      <w:r w:rsidRPr="003A65F3">
        <w:rPr>
          <w:rFonts w:ascii="Palatino Linotype" w:hAnsi="Palatino Linotype"/>
          <w:i/>
          <w:iCs/>
          <w:noProof/>
          <w:sz w:val="24"/>
          <w:szCs w:val="24"/>
        </w:rPr>
        <w:t>Gateways: International Journal of Community Research and Engagement</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12</w:t>
      </w:r>
      <w:r w:rsidRPr="003A65F3">
        <w:rPr>
          <w:rFonts w:ascii="Palatino Linotype" w:hAnsi="Palatino Linotype"/>
          <w:noProof/>
          <w:sz w:val="24"/>
          <w:szCs w:val="24"/>
        </w:rPr>
        <w:t>(1), ID-6342.</w:t>
      </w:r>
    </w:p>
    <w:p w14:paraId="1BD54D42"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García, I. (2020). Asset-based community development (ABCD): Core principles. In </w:t>
      </w:r>
      <w:r w:rsidRPr="003A65F3">
        <w:rPr>
          <w:rFonts w:ascii="Palatino Linotype" w:hAnsi="Palatino Linotype"/>
          <w:i/>
          <w:iCs/>
          <w:noProof/>
          <w:sz w:val="24"/>
          <w:szCs w:val="24"/>
        </w:rPr>
        <w:t>Research handbook on community development</w:t>
      </w:r>
      <w:r w:rsidRPr="003A65F3">
        <w:rPr>
          <w:rFonts w:ascii="Palatino Linotype" w:hAnsi="Palatino Linotype"/>
          <w:noProof/>
          <w:sz w:val="24"/>
          <w:szCs w:val="24"/>
        </w:rPr>
        <w:t>. Edward Elgar Publishing.</w:t>
      </w:r>
    </w:p>
    <w:p w14:paraId="610196D2"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Gea, I. V., Saleh, M., &amp; Suharto, R. B. (2022). Peranan corporate social responsibility (CSR) terhadap tingkat pembangunan desa. </w:t>
      </w:r>
      <w:r w:rsidRPr="003A65F3">
        <w:rPr>
          <w:rFonts w:ascii="Palatino Linotype" w:hAnsi="Palatino Linotype"/>
          <w:i/>
          <w:iCs/>
          <w:noProof/>
          <w:sz w:val="24"/>
          <w:szCs w:val="24"/>
        </w:rPr>
        <w:t>INOVASI: Jurnal Ekonomi, Keuangan Dan Manajemen</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18</w:t>
      </w:r>
      <w:r w:rsidRPr="003A65F3">
        <w:rPr>
          <w:rFonts w:ascii="Palatino Linotype" w:hAnsi="Palatino Linotype"/>
          <w:noProof/>
          <w:sz w:val="24"/>
          <w:szCs w:val="24"/>
        </w:rPr>
        <w:t>(3), 551–560. https://doi.org/10.29264/jinv.v18i3.11545</w:t>
      </w:r>
    </w:p>
    <w:p w14:paraId="1503D8D3"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Junaid, M., Zhang, Q., Cao, M., &amp; Luqman, A. (2023). Nexus between technology enabled supply chain dynamic capabilities, integration, resilience, and sustainable performance: An empirical examination of healthcare organizations. </w:t>
      </w:r>
      <w:r w:rsidRPr="003A65F3">
        <w:rPr>
          <w:rFonts w:ascii="Palatino Linotype" w:hAnsi="Palatino Linotype"/>
          <w:i/>
          <w:iCs/>
          <w:noProof/>
          <w:sz w:val="24"/>
          <w:szCs w:val="24"/>
        </w:rPr>
        <w:t>Technological Forecasting and Social Change</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196</w:t>
      </w:r>
      <w:r w:rsidRPr="003A65F3">
        <w:rPr>
          <w:rFonts w:ascii="Palatino Linotype" w:hAnsi="Palatino Linotype"/>
          <w:noProof/>
          <w:sz w:val="24"/>
          <w:szCs w:val="24"/>
        </w:rPr>
        <w:t>, 122828.</w:t>
      </w:r>
    </w:p>
    <w:p w14:paraId="4FA1C4A8"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Khaskheli, M. B., Wang, S., Yan, X., &amp; He, Y. (2023). Innovation of the social security, legal risks, sustainable management practices and employee environmental awareness in the China–Pakistan economic corridor. </w:t>
      </w:r>
      <w:r w:rsidRPr="003A65F3">
        <w:rPr>
          <w:rFonts w:ascii="Palatino Linotype" w:hAnsi="Palatino Linotype"/>
          <w:i/>
          <w:iCs/>
          <w:noProof/>
          <w:sz w:val="24"/>
          <w:szCs w:val="24"/>
        </w:rPr>
        <w:t>Sustainability</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15</w:t>
      </w:r>
      <w:r w:rsidRPr="003A65F3">
        <w:rPr>
          <w:rFonts w:ascii="Palatino Linotype" w:hAnsi="Palatino Linotype"/>
          <w:noProof/>
          <w:sz w:val="24"/>
          <w:szCs w:val="24"/>
        </w:rPr>
        <w:t>(2), 1021.</w:t>
      </w:r>
    </w:p>
    <w:p w14:paraId="0C024F1B"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Leal Filho, W., Shiel, C., Paço, A., Mifsud, M., Ávila, L. V., Brandli, L. L., Molthan-Hill, P., Pace, P., Azeiteiro, U. M., &amp; Vargas, V. R. (2019). Sustainable Development Goals and sustainability teaching at universities: Falling behind or getting ahead of the pack? </w:t>
      </w:r>
      <w:r w:rsidRPr="003A65F3">
        <w:rPr>
          <w:rFonts w:ascii="Palatino Linotype" w:hAnsi="Palatino Linotype"/>
          <w:i/>
          <w:iCs/>
          <w:noProof/>
          <w:sz w:val="24"/>
          <w:szCs w:val="24"/>
        </w:rPr>
        <w:t>Journal of Cleaner Production</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232</w:t>
      </w:r>
      <w:r w:rsidRPr="003A65F3">
        <w:rPr>
          <w:rFonts w:ascii="Palatino Linotype" w:hAnsi="Palatino Linotype"/>
          <w:noProof/>
          <w:sz w:val="24"/>
          <w:szCs w:val="24"/>
        </w:rPr>
        <w:t>, 285–294.</w:t>
      </w:r>
    </w:p>
    <w:p w14:paraId="4FA16BC4"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lastRenderedPageBreak/>
        <w:t xml:space="preserve">Lee, R., Hoe Looi, K., Faulkner, M., &amp; Neale, L. (2021). The moderating influence of environment factors in an extended community of inquiry model of e-learning. </w:t>
      </w:r>
      <w:r w:rsidRPr="003A65F3">
        <w:rPr>
          <w:rFonts w:ascii="Palatino Linotype" w:hAnsi="Palatino Linotype"/>
          <w:i/>
          <w:iCs/>
          <w:noProof/>
          <w:sz w:val="24"/>
          <w:szCs w:val="24"/>
        </w:rPr>
        <w:t>Asia Pacific Journal of Education</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41</w:t>
      </w:r>
      <w:r w:rsidRPr="003A65F3">
        <w:rPr>
          <w:rFonts w:ascii="Palatino Linotype" w:hAnsi="Palatino Linotype"/>
          <w:noProof/>
          <w:sz w:val="24"/>
          <w:szCs w:val="24"/>
        </w:rPr>
        <w:t>(1). https://doi.org/10.1080/02188791.2020.1758032</w:t>
      </w:r>
    </w:p>
    <w:p w14:paraId="7EB01770"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Lis, M., &amp; Szyszka, M. (2020). </w:t>
      </w:r>
      <w:r w:rsidRPr="003A65F3">
        <w:rPr>
          <w:rFonts w:ascii="Palatino Linotype" w:hAnsi="Palatino Linotype"/>
          <w:i/>
          <w:iCs/>
          <w:noProof/>
          <w:sz w:val="24"/>
          <w:szCs w:val="24"/>
        </w:rPr>
        <w:t>Innovation and Entrepreneurship</w:t>
      </w:r>
      <w:r w:rsidRPr="003A65F3">
        <w:rPr>
          <w:i/>
          <w:iCs/>
          <w:noProof/>
          <w:sz w:val="24"/>
          <w:szCs w:val="24"/>
        </w:rPr>
        <w:t> </w:t>
      </w:r>
      <w:r w:rsidRPr="003A65F3">
        <w:rPr>
          <w:rFonts w:ascii="Palatino Linotype" w:hAnsi="Palatino Linotype"/>
          <w:i/>
          <w:iCs/>
          <w:noProof/>
          <w:sz w:val="24"/>
          <w:szCs w:val="24"/>
        </w:rPr>
        <w:t>: Theory and Practice.</w:t>
      </w:r>
      <w:r w:rsidRPr="003A65F3">
        <w:rPr>
          <w:rFonts w:ascii="Palatino Linotype" w:hAnsi="Palatino Linotype"/>
          <w:noProof/>
          <w:sz w:val="24"/>
          <w:szCs w:val="24"/>
        </w:rPr>
        <w:t xml:space="preserve"> Logos Verlag Berlin.</w:t>
      </w:r>
    </w:p>
    <w:p w14:paraId="448030B4"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Malureanu, A., Panisoara, G., &amp; Lazar, I. (2021). The relationship between self-confidence, self-efficacy, grit, usefulness, and ease of use of elearning platforms in corporate training during the COVID-19 pandemic. </w:t>
      </w:r>
      <w:r w:rsidRPr="003A65F3">
        <w:rPr>
          <w:rFonts w:ascii="Palatino Linotype" w:hAnsi="Palatino Linotype"/>
          <w:i/>
          <w:iCs/>
          <w:noProof/>
          <w:sz w:val="24"/>
          <w:szCs w:val="24"/>
        </w:rPr>
        <w:t>Sustainability</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13</w:t>
      </w:r>
      <w:r w:rsidRPr="003A65F3">
        <w:rPr>
          <w:rFonts w:ascii="Palatino Linotype" w:hAnsi="Palatino Linotype"/>
          <w:noProof/>
          <w:sz w:val="24"/>
          <w:szCs w:val="24"/>
        </w:rPr>
        <w:t>(12), 6633.</w:t>
      </w:r>
    </w:p>
    <w:p w14:paraId="04D93D8A"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McGregor, K., &amp; Setiawan, K. (2019). Shifting from international to “Indonesian” justice measures: Two decades of addressing past human rights violations. </w:t>
      </w:r>
      <w:r w:rsidRPr="003A65F3">
        <w:rPr>
          <w:rFonts w:ascii="Palatino Linotype" w:hAnsi="Palatino Linotype"/>
          <w:i/>
          <w:iCs/>
          <w:noProof/>
          <w:sz w:val="24"/>
          <w:szCs w:val="24"/>
        </w:rPr>
        <w:t>Journal of Contemporary Asia</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49</w:t>
      </w:r>
      <w:r w:rsidRPr="003A65F3">
        <w:rPr>
          <w:rFonts w:ascii="Palatino Linotype" w:hAnsi="Palatino Linotype"/>
          <w:noProof/>
          <w:sz w:val="24"/>
          <w:szCs w:val="24"/>
        </w:rPr>
        <w:t>(5), 837–861.</w:t>
      </w:r>
    </w:p>
    <w:p w14:paraId="1D1A89F0"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Muhdi, M. (2019). Framework for implementation of education policy in the perspective of education management in Indonesia. </w:t>
      </w:r>
      <w:r w:rsidRPr="003A65F3">
        <w:rPr>
          <w:rFonts w:ascii="Palatino Linotype" w:hAnsi="Palatino Linotype"/>
          <w:i/>
          <w:iCs/>
          <w:noProof/>
          <w:sz w:val="24"/>
          <w:szCs w:val="24"/>
        </w:rPr>
        <w:t>Universal Journal of Educational Research</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7</w:t>
      </w:r>
      <w:r w:rsidRPr="003A65F3">
        <w:rPr>
          <w:rFonts w:ascii="Palatino Linotype" w:hAnsi="Palatino Linotype"/>
          <w:noProof/>
          <w:sz w:val="24"/>
          <w:szCs w:val="24"/>
        </w:rPr>
        <w:t>(12), 2717–2728. https://doi.org/10.13189/ujer.2019.071220</w:t>
      </w:r>
    </w:p>
    <w:p w14:paraId="1E2A7583"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Prasetiawati, P. (2020). The Role of Religious Harmony Forum for Maintain Religious Life in Palangka Raya. </w:t>
      </w:r>
      <w:r w:rsidRPr="003A65F3">
        <w:rPr>
          <w:rFonts w:ascii="Palatino Linotype" w:hAnsi="Palatino Linotype"/>
          <w:i/>
          <w:iCs/>
          <w:noProof/>
          <w:sz w:val="24"/>
          <w:szCs w:val="24"/>
        </w:rPr>
        <w:t>Proceedings of the First International Conference on Christian and Inter Religious Studies, ICCIRS 2019, December 11-14 2019, Manado, Indonesia</w:t>
      </w:r>
      <w:r w:rsidRPr="003A65F3">
        <w:rPr>
          <w:rFonts w:ascii="Palatino Linotype" w:hAnsi="Palatino Linotype"/>
          <w:noProof/>
          <w:sz w:val="24"/>
          <w:szCs w:val="24"/>
        </w:rPr>
        <w:t>.</w:t>
      </w:r>
    </w:p>
    <w:p w14:paraId="5DEAD457"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Rahmadani, R., Raharjo, S. T., &amp; Resnawaty, R. (2019). Fungsi Corporate social responsibility (CSR) Dalam Pengembangan dan Pemberdayaan Masyarakat. </w:t>
      </w:r>
      <w:r w:rsidRPr="003A65F3">
        <w:rPr>
          <w:rFonts w:ascii="Palatino Linotype" w:hAnsi="Palatino Linotype"/>
          <w:i/>
          <w:iCs/>
          <w:noProof/>
          <w:sz w:val="24"/>
          <w:szCs w:val="24"/>
        </w:rPr>
        <w:t>Share</w:t>
      </w:r>
      <w:r w:rsidRPr="003A65F3">
        <w:rPr>
          <w:i/>
          <w:iCs/>
          <w:noProof/>
          <w:sz w:val="24"/>
          <w:szCs w:val="24"/>
        </w:rPr>
        <w:t> </w:t>
      </w:r>
      <w:r w:rsidRPr="003A65F3">
        <w:rPr>
          <w:rFonts w:ascii="Palatino Linotype" w:hAnsi="Palatino Linotype"/>
          <w:i/>
          <w:iCs/>
          <w:noProof/>
          <w:sz w:val="24"/>
          <w:szCs w:val="24"/>
        </w:rPr>
        <w:t>: Social Work Journal</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8</w:t>
      </w:r>
      <w:r w:rsidRPr="003A65F3">
        <w:rPr>
          <w:rFonts w:ascii="Palatino Linotype" w:hAnsi="Palatino Linotype"/>
          <w:noProof/>
          <w:sz w:val="24"/>
          <w:szCs w:val="24"/>
        </w:rPr>
        <w:t>(2), 203. https://doi.org/10.24198/share.v8i2.20081</w:t>
      </w:r>
    </w:p>
    <w:p w14:paraId="14E0FED3"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Riyanti, C., &amp; Raharjo, S. T. (2021). Asset Based Community Development Dalam Program Corporate Social Responsibility (Csr). </w:t>
      </w:r>
      <w:r w:rsidRPr="003A65F3">
        <w:rPr>
          <w:rFonts w:ascii="Palatino Linotype" w:hAnsi="Palatino Linotype"/>
          <w:i/>
          <w:iCs/>
          <w:noProof/>
          <w:sz w:val="24"/>
          <w:szCs w:val="24"/>
        </w:rPr>
        <w:t>Jurnal Kolaborasi Resolusi Konflik</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3</w:t>
      </w:r>
      <w:r w:rsidRPr="003A65F3">
        <w:rPr>
          <w:rFonts w:ascii="Palatino Linotype" w:hAnsi="Palatino Linotype"/>
          <w:noProof/>
          <w:sz w:val="24"/>
          <w:szCs w:val="24"/>
        </w:rPr>
        <w:t>(1), 112–126.</w:t>
      </w:r>
    </w:p>
    <w:p w14:paraId="169CA9BD"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Rubio-Mozos, E., García-Muiña, F. E., &amp; Fuentes-Moraleda, L. (2019). Rethinking 21st-century businesses: An approach to fourth sector SMEs in their transition to a sustainable model committed to SDGs. </w:t>
      </w:r>
      <w:r w:rsidRPr="003A65F3">
        <w:rPr>
          <w:rFonts w:ascii="Palatino Linotype" w:hAnsi="Palatino Linotype"/>
          <w:i/>
          <w:iCs/>
          <w:noProof/>
          <w:sz w:val="24"/>
          <w:szCs w:val="24"/>
        </w:rPr>
        <w:t>Sustainability</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11</w:t>
      </w:r>
      <w:r w:rsidRPr="003A65F3">
        <w:rPr>
          <w:rFonts w:ascii="Palatino Linotype" w:hAnsi="Palatino Linotype"/>
          <w:noProof/>
          <w:sz w:val="24"/>
          <w:szCs w:val="24"/>
        </w:rPr>
        <w:t>(20), 5569.</w:t>
      </w:r>
    </w:p>
    <w:p w14:paraId="13287D46"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Sari, S. Y. I., Faisal, M., Raksanagara, A. S., Agustian, D., &amp; Rusmil, K. (2020). Water quality and factors associated with compliance of drinking water refilling stations as a choice for middle-low urban households in developing countries. </w:t>
      </w:r>
      <w:r w:rsidRPr="003A65F3">
        <w:rPr>
          <w:rFonts w:ascii="Palatino Linotype" w:hAnsi="Palatino Linotype"/>
          <w:i/>
          <w:iCs/>
          <w:noProof/>
          <w:sz w:val="24"/>
          <w:szCs w:val="24"/>
        </w:rPr>
        <w:t>Journal of Water and Environment Technology</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18</w:t>
      </w:r>
      <w:r w:rsidRPr="003A65F3">
        <w:rPr>
          <w:rFonts w:ascii="Palatino Linotype" w:hAnsi="Palatino Linotype"/>
          <w:noProof/>
          <w:sz w:val="24"/>
          <w:szCs w:val="24"/>
        </w:rPr>
        <w:t>(1), 27–36. https://doi.org/10.2965/jwet.19-037</w:t>
      </w:r>
    </w:p>
    <w:p w14:paraId="135A9018" w14:textId="77777777" w:rsidR="003A65F3" w:rsidRPr="003A65F3" w:rsidRDefault="00000000" w:rsidP="003A65F3">
      <w:pPr>
        <w:autoSpaceDE w:val="0"/>
        <w:autoSpaceDN w:val="0"/>
        <w:adjustRightInd w:val="0"/>
        <w:spacing w:line="240" w:lineRule="auto"/>
        <w:ind w:left="480" w:hanging="480"/>
        <w:jc w:val="both"/>
        <w:rPr>
          <w:rFonts w:ascii="Palatino Linotype" w:hAnsi="Palatino Linotype"/>
          <w:noProof/>
          <w:sz w:val="24"/>
          <w:szCs w:val="24"/>
        </w:rPr>
      </w:pPr>
      <w:r w:rsidRPr="003A65F3">
        <w:rPr>
          <w:rFonts w:ascii="Palatino Linotype" w:hAnsi="Palatino Linotype"/>
          <w:noProof/>
          <w:sz w:val="24"/>
          <w:szCs w:val="24"/>
        </w:rPr>
        <w:t xml:space="preserve">Sarid, A. (2021). Crossing boundaries: Connecting adaptive leadership and social justice leadership for educational contexts. </w:t>
      </w:r>
      <w:r w:rsidRPr="003A65F3">
        <w:rPr>
          <w:rFonts w:ascii="Palatino Linotype" w:hAnsi="Palatino Linotype"/>
          <w:i/>
          <w:iCs/>
          <w:noProof/>
          <w:sz w:val="24"/>
          <w:szCs w:val="24"/>
        </w:rPr>
        <w:t>International Journal of Leadership in Education</w:t>
      </w:r>
      <w:r w:rsidRPr="003A65F3">
        <w:rPr>
          <w:rFonts w:ascii="Palatino Linotype" w:hAnsi="Palatino Linotype"/>
          <w:noProof/>
          <w:sz w:val="24"/>
          <w:szCs w:val="24"/>
        </w:rPr>
        <w:t>, 1–22.</w:t>
      </w:r>
    </w:p>
    <w:p w14:paraId="14569BE6" w14:textId="77777777" w:rsidR="0087610A" w:rsidRPr="00BC4C51" w:rsidRDefault="00000000" w:rsidP="003A65F3">
      <w:pPr>
        <w:autoSpaceDE w:val="0"/>
        <w:autoSpaceDN w:val="0"/>
        <w:adjustRightInd w:val="0"/>
        <w:spacing w:line="240" w:lineRule="auto"/>
        <w:ind w:left="480" w:hanging="480"/>
        <w:jc w:val="both"/>
        <w:rPr>
          <w:rFonts w:ascii="Palatino Linotype" w:eastAsia="Times New Roman" w:hAnsi="Palatino Linotype"/>
          <w:sz w:val="20"/>
          <w:lang w:val="en-ID"/>
        </w:rPr>
      </w:pPr>
      <w:r w:rsidRPr="003A65F3">
        <w:rPr>
          <w:rFonts w:ascii="Palatino Linotype" w:hAnsi="Palatino Linotype"/>
          <w:noProof/>
          <w:sz w:val="24"/>
          <w:szCs w:val="24"/>
        </w:rPr>
        <w:t xml:space="preserve">Torkayesh, A. E., &amp; Torkayesh, S. E. (2021). Evaluation of information and communication technology development in G7 countries: An integrated MCDM approach. </w:t>
      </w:r>
      <w:r w:rsidRPr="003A65F3">
        <w:rPr>
          <w:rFonts w:ascii="Palatino Linotype" w:hAnsi="Palatino Linotype"/>
          <w:i/>
          <w:iCs/>
          <w:noProof/>
          <w:sz w:val="24"/>
          <w:szCs w:val="24"/>
        </w:rPr>
        <w:t>Technology in Society</w:t>
      </w:r>
      <w:r w:rsidRPr="003A65F3">
        <w:rPr>
          <w:rFonts w:ascii="Palatino Linotype" w:hAnsi="Palatino Linotype"/>
          <w:noProof/>
          <w:sz w:val="24"/>
          <w:szCs w:val="24"/>
        </w:rPr>
        <w:t xml:space="preserve">, </w:t>
      </w:r>
      <w:r w:rsidRPr="003A65F3">
        <w:rPr>
          <w:rFonts w:ascii="Palatino Linotype" w:hAnsi="Palatino Linotype"/>
          <w:i/>
          <w:iCs/>
          <w:noProof/>
          <w:sz w:val="24"/>
          <w:szCs w:val="24"/>
        </w:rPr>
        <w:t>66</w:t>
      </w:r>
      <w:r w:rsidRPr="003A65F3">
        <w:rPr>
          <w:rFonts w:ascii="Palatino Linotype" w:hAnsi="Palatino Linotype"/>
          <w:noProof/>
          <w:sz w:val="24"/>
          <w:szCs w:val="24"/>
        </w:rPr>
        <w:t>, 101670.</w:t>
      </w:r>
      <w:r w:rsidR="00627989" w:rsidRPr="006B7949">
        <w:rPr>
          <w:rFonts w:ascii="Palatino Linotype" w:hAnsi="Palatino Linotype"/>
          <w:noProof/>
          <w:sz w:val="24"/>
          <w:szCs w:val="24"/>
          <w:lang w:val="en-ID"/>
        </w:rPr>
        <w:fldChar w:fldCharType="end"/>
      </w:r>
    </w:p>
    <w:sectPr w:rsidR="0087610A" w:rsidRPr="00BC4C51" w:rsidSect="009F2981">
      <w:headerReference w:type="even" r:id="rId10"/>
      <w:headerReference w:type="default" r:id="rId11"/>
      <w:footerReference w:type="even" r:id="rId12"/>
      <w:footerReference w:type="default" r:id="rId13"/>
      <w:headerReference w:type="first" r:id="rId14"/>
      <w:footerReference w:type="first" r:id="rId15"/>
      <w:pgSz w:w="11907" w:h="16840" w:code="9"/>
      <w:pgMar w:top="1701" w:right="1418" w:bottom="1418" w:left="1418" w:header="567" w:footer="567"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2B2B2" w14:textId="77777777" w:rsidR="00E57401" w:rsidRDefault="00E57401">
      <w:pPr>
        <w:spacing w:line="240" w:lineRule="auto"/>
      </w:pPr>
      <w:r>
        <w:separator/>
      </w:r>
    </w:p>
  </w:endnote>
  <w:endnote w:type="continuationSeparator" w:id="0">
    <w:p w14:paraId="1401459D" w14:textId="77777777" w:rsidR="00E57401" w:rsidRDefault="00E57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B730" w14:textId="77777777" w:rsidR="005F546B" w:rsidRPr="002C7759" w:rsidRDefault="00000000" w:rsidP="002C7759">
    <w:pPr>
      <w:pStyle w:val="Header"/>
      <w:spacing w:after="0" w:line="240" w:lineRule="auto"/>
      <w:rPr>
        <w:rFonts w:ascii="Palatino Linotype" w:hAnsi="Palatino Linotype"/>
        <w:i/>
        <w:iCs/>
        <w:sz w:val="18"/>
        <w:szCs w:val="18"/>
      </w:rPr>
    </w:pPr>
    <w:r w:rsidRPr="002C7759">
      <w:rPr>
        <w:rFonts w:ascii="Palatino Linotype" w:hAnsi="Palatino Linotype"/>
        <w:sz w:val="18"/>
        <w:szCs w:val="18"/>
      </w:rPr>
      <mc:AlternateContent>
        <mc:Choice Requires="wps">
          <w:drawing>
            <wp:anchor distT="0" distB="0" distL="114300" distR="114300" simplePos="0" relativeHeight="251655680" behindDoc="0" locked="0" layoutInCell="1" allowOverlap="1" wp14:anchorId="1F606A6D" wp14:editId="50DF89CD">
              <wp:simplePos x="0" y="0"/>
              <wp:positionH relativeFrom="column">
                <wp:posOffset>190196</wp:posOffset>
              </wp:positionH>
              <wp:positionV relativeFrom="paragraph">
                <wp:posOffset>6985</wp:posOffset>
              </wp:positionV>
              <wp:extent cx="0" cy="142619"/>
              <wp:effectExtent l="0" t="0" r="38100" b="29210"/>
              <wp:wrapNone/>
              <wp:docPr id="10" name="Straight Connector 10"/>
              <wp:cNvGraphicFramePr/>
              <a:graphic xmlns:a="http://schemas.openxmlformats.org/drawingml/2006/main">
                <a:graphicData uri="http://schemas.microsoft.com/office/word/2010/wordprocessingShape">
                  <wps:wsp>
                    <wps:cNvCnPr/>
                    <wps:spPr>
                      <a:xfrm>
                        <a:off x="0" y="0"/>
                        <a:ext cx="0" cy="142619"/>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id="Straight Connector 10" o:spid="_x0000_s2051" style="mso-height-percent:0;mso-height-relative:margin;mso-wrap-distance-bottom:0;mso-wrap-distance-left:9pt;mso-wrap-distance-right:9pt;mso-wrap-distance-top:0;mso-wrap-style:square;position:absolute;visibility:visible;z-index:251659264" from="15pt,0.55pt" to="15pt,11.8pt" strokecolor="black" strokeweight="0.5pt">
              <v:stroke joinstyle="miter"/>
            </v:line>
          </w:pict>
        </mc:Fallback>
      </mc:AlternateContent>
    </w:r>
    <w:r w:rsidR="005037E2" w:rsidRPr="002C7759">
      <w:rPr>
        <w:rFonts w:ascii="Palatino Linotype" w:hAnsi="Palatino Linotype"/>
        <w:sz w:val="18"/>
        <w:szCs w:val="18"/>
      </w:rPr>
      <w:fldChar w:fldCharType="begin"/>
    </w:r>
    <w:r w:rsidR="005037E2" w:rsidRPr="002C7759">
      <w:rPr>
        <w:rFonts w:ascii="Palatino Linotype" w:hAnsi="Palatino Linotype"/>
        <w:sz w:val="18"/>
        <w:szCs w:val="18"/>
      </w:rPr>
      <w:instrText xml:space="preserve"> PAGE   \* MERGEFORMAT </w:instrText>
    </w:r>
    <w:r w:rsidR="005037E2" w:rsidRPr="002C7759">
      <w:rPr>
        <w:rFonts w:ascii="Palatino Linotype" w:hAnsi="Palatino Linotype"/>
        <w:sz w:val="18"/>
        <w:szCs w:val="18"/>
      </w:rPr>
      <w:fldChar w:fldCharType="separate"/>
    </w:r>
    <w:r w:rsidR="005037E2" w:rsidRPr="002C7759">
      <w:rPr>
        <w:rFonts w:ascii="Palatino Linotype" w:hAnsi="Palatino Linotype"/>
        <w:sz w:val="18"/>
        <w:szCs w:val="18"/>
      </w:rPr>
      <w:t>12</w:t>
    </w:r>
    <w:r w:rsidR="005037E2" w:rsidRPr="002C7759">
      <w:rPr>
        <w:rFonts w:ascii="Palatino Linotype" w:hAnsi="Palatino Linotype"/>
        <w:sz w:val="18"/>
        <w:szCs w:val="18"/>
      </w:rPr>
      <w:fldChar w:fldCharType="end"/>
    </w:r>
    <w:r w:rsidR="005037E2" w:rsidRPr="002C7759">
      <w:rPr>
        <w:rFonts w:ascii="Palatino Linotype" w:hAnsi="Palatino Linotype"/>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3DAD0" w14:textId="77777777" w:rsidR="005F546B" w:rsidRPr="006D38E2" w:rsidRDefault="00000000"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r>
      <w:rPr>
        <w:rFonts w:ascii="Palatino Linotype" w:hAnsi="Palatino Linotype"/>
        <w:sz w:val="20"/>
      </w:rPr>
      <mc:AlternateContent>
        <mc:Choice Requires="wps">
          <w:drawing>
            <wp:anchor distT="0" distB="0" distL="114300" distR="114300" simplePos="0" relativeHeight="251657728" behindDoc="0" locked="0" layoutInCell="1" allowOverlap="1" wp14:anchorId="2AB64BC6" wp14:editId="2E85BDA7">
              <wp:simplePos x="0" y="0"/>
              <wp:positionH relativeFrom="column">
                <wp:posOffset>5478449</wp:posOffset>
              </wp:positionH>
              <wp:positionV relativeFrom="paragraph">
                <wp:posOffset>0</wp:posOffset>
              </wp:positionV>
              <wp:extent cx="0" cy="156881"/>
              <wp:effectExtent l="0" t="0" r="38100" b="33655"/>
              <wp:wrapNone/>
              <wp:docPr id="11" name="Straight Connector 11"/>
              <wp:cNvGraphicFramePr/>
              <a:graphic xmlns:a="http://schemas.openxmlformats.org/drawingml/2006/main">
                <a:graphicData uri="http://schemas.microsoft.com/office/word/2010/wordprocessingShape">
                  <wps:wsp>
                    <wps:cNvCnPr/>
                    <wps:spPr>
                      <a:xfrm>
                        <a:off x="0" y="0"/>
                        <a:ext cx="0" cy="156881"/>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id="Straight Connector 11" o:spid="_x0000_s2052" style="mso-height-percent:0;mso-height-relative:margin;mso-wrap-distance-bottom:0;mso-wrap-distance-left:9pt;mso-wrap-distance-right:9pt;mso-wrap-distance-top:0;mso-wrap-style:square;position:absolute;visibility:visible;z-index:251661312" from="431.35pt,0" to="431.35pt,12.35pt" strokecolor="black" strokeweight="0.5pt">
              <v:stroke joinstyle="miter"/>
            </v:line>
          </w:pict>
        </mc:Fallback>
      </mc:AlternateContent>
    </w:r>
    <w:r w:rsidR="005037E2" w:rsidRPr="00EA29FD">
      <w:rPr>
        <w:rFonts w:ascii="Garamond" w:hAnsi="Garamond"/>
        <w:iCs/>
        <w:sz w:val="16"/>
        <w:szCs w:val="16"/>
      </w:rPr>
      <w:t xml:space="preserve">    </w:t>
    </w:r>
    <w:r w:rsidR="005037E2" w:rsidRPr="00EA29FD">
      <w:rPr>
        <w:rFonts w:ascii="Garamond" w:hAnsi="Garamond"/>
        <w:iCs/>
        <w:sz w:val="16"/>
        <w:szCs w:val="16"/>
      </w:rPr>
      <w:tab/>
      <w:t xml:space="preserve"> </w:t>
    </w:r>
    <w:r w:rsidR="005037E2" w:rsidRPr="002C7759">
      <w:rPr>
        <w:rFonts w:ascii="Palatino Linotype" w:hAnsi="Palatino Linotype"/>
        <w:iCs/>
        <w:sz w:val="18"/>
        <w:szCs w:val="18"/>
      </w:rPr>
      <w:t xml:space="preserve"> </w:t>
    </w:r>
    <w:r w:rsidR="005037E2" w:rsidRPr="002C7759">
      <w:rPr>
        <w:rFonts w:ascii="Palatino Linotype" w:hAnsi="Palatino Linotype"/>
        <w:i w:val="0"/>
        <w:iCs/>
        <w:sz w:val="18"/>
        <w:szCs w:val="18"/>
      </w:rPr>
      <w:fldChar w:fldCharType="begin"/>
    </w:r>
    <w:r w:rsidR="005037E2" w:rsidRPr="002C7759">
      <w:rPr>
        <w:rFonts w:ascii="Palatino Linotype" w:hAnsi="Palatino Linotype"/>
        <w:i w:val="0"/>
        <w:iCs/>
        <w:sz w:val="18"/>
        <w:szCs w:val="18"/>
      </w:rPr>
      <w:instrText xml:space="preserve"> PAGE   \* MERGEFORMAT </w:instrText>
    </w:r>
    <w:r w:rsidR="005037E2" w:rsidRPr="002C7759">
      <w:rPr>
        <w:rFonts w:ascii="Palatino Linotype" w:hAnsi="Palatino Linotype"/>
        <w:i w:val="0"/>
        <w:iCs/>
        <w:sz w:val="18"/>
        <w:szCs w:val="18"/>
      </w:rPr>
      <w:fldChar w:fldCharType="separate"/>
    </w:r>
    <w:r w:rsidR="005037E2" w:rsidRPr="002C7759">
      <w:rPr>
        <w:rFonts w:ascii="Palatino Linotype" w:hAnsi="Palatino Linotype"/>
        <w:i w:val="0"/>
        <w:iCs/>
        <w:sz w:val="18"/>
        <w:szCs w:val="18"/>
      </w:rPr>
      <w:t>17</w:t>
    </w:r>
    <w:r w:rsidR="005037E2" w:rsidRPr="002C7759">
      <w:rPr>
        <w:rFonts w:ascii="Palatino Linotype" w:hAnsi="Palatino Linotype"/>
        <w:i w:val="0"/>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0351F" w14:textId="77777777" w:rsidR="00BD11D7" w:rsidRDefault="00000000">
    <w:r>
      <w:rPr>
        <w:noProof/>
      </w:rPr>
      <mc:AlternateContent>
        <mc:Choice Requires="wps">
          <w:drawing>
            <wp:anchor distT="0" distB="0" distL="114300" distR="114300" simplePos="0" relativeHeight="251658752" behindDoc="0" locked="0" layoutInCell="1" allowOverlap="1" wp14:anchorId="10A6F746" wp14:editId="706900E2">
              <wp:simplePos x="0" y="0"/>
              <wp:positionH relativeFrom="column">
                <wp:posOffset>1047750</wp:posOffset>
              </wp:positionH>
              <wp:positionV relativeFrom="paragraph">
                <wp:posOffset>146050</wp:posOffset>
              </wp:positionV>
              <wp:extent cx="3587750"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35877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8" o:spid="_x0000_s2054" style="mso-wrap-distance-bottom:0;mso-wrap-distance-left:9pt;mso-wrap-distance-right:9pt;mso-wrap-distance-top:0;mso-wrap-style:square;position:absolute;visibility:visible;z-index:251663360" from="82.5pt,11.5pt" to="365pt,11.5pt" strokecolor="black">
              <v:stroke joinstyle="miter"/>
            </v:line>
          </w:pict>
        </mc:Fallback>
      </mc:AlternateContent>
    </w:r>
  </w:p>
  <w:p w14:paraId="7CE2CD36" w14:textId="77777777" w:rsidR="0040021C" w:rsidRPr="0080323E" w:rsidRDefault="00000000" w:rsidP="005F40F2">
    <w:pPr>
      <w:spacing w:line="240" w:lineRule="auto"/>
      <w:ind w:left="851" w:right="850"/>
      <w:jc w:val="center"/>
      <w:rPr>
        <w:rFonts w:ascii="Palatino Linotype" w:hAnsi="Palatino Linotype" w:cs="Arial"/>
        <w:sz w:val="18"/>
        <w:szCs w:val="18"/>
      </w:rPr>
    </w:pPr>
    <w:r w:rsidRPr="00901901">
      <w:rPr>
        <w:rFonts w:ascii="Palatino Linotype" w:hAnsi="Palatino Linotype" w:cs="Arial"/>
        <w:sz w:val="18"/>
        <w:szCs w:val="18"/>
        <w:lang w:val="en-ID"/>
      </w:rPr>
      <w:t>Published by Edujavare Publishing; Indonesia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729ED" w14:textId="77777777" w:rsidR="00E57401" w:rsidRDefault="00E57401">
      <w:pPr>
        <w:spacing w:line="240" w:lineRule="auto"/>
      </w:pPr>
      <w:r>
        <w:separator/>
      </w:r>
    </w:p>
  </w:footnote>
  <w:footnote w:type="continuationSeparator" w:id="0">
    <w:p w14:paraId="13EAFABB" w14:textId="77777777" w:rsidR="00E57401" w:rsidRDefault="00E574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79401" w14:textId="77777777" w:rsidR="00624B84" w:rsidRDefault="00000000" w:rsidP="00AA1EAB">
    <w:pPr>
      <w:pStyle w:val="Header"/>
      <w:jc w:val="both"/>
      <w:rPr>
        <w:rFonts w:ascii="Palatino Linotype" w:hAnsi="Palatino Linotype"/>
        <w:i/>
        <w:iCs/>
        <w:sz w:val="16"/>
        <w:szCs w:val="16"/>
      </w:rPr>
    </w:pPr>
    <w:r w:rsidRPr="00901901">
      <w:rPr>
        <w:rFonts w:ascii="Palatino Linotype" w:hAnsi="Palatino Linotype"/>
        <w:i/>
        <w:iCs/>
        <w:sz w:val="16"/>
        <w:szCs w:val="16"/>
      </w:rPr>
      <w:t>Evaluation of Governance, Risk Management, and Compliance Policies in Supporting Sustainability and Corporate Social Responsibility</w:t>
    </w:r>
  </w:p>
  <w:p w14:paraId="1815DFA2" w14:textId="77777777" w:rsidR="00AA1EAB" w:rsidRDefault="00000000" w:rsidP="00480A5B">
    <w:pPr>
      <w:pStyle w:val="Header"/>
      <w:jc w:val="both"/>
      <w:rPr>
        <w:rFonts w:ascii="Palatino Linotype" w:hAnsi="Palatino Linotype"/>
        <w:i/>
        <w:iCs/>
        <w:sz w:val="16"/>
        <w:szCs w:val="16"/>
      </w:rPr>
    </w:pPr>
    <w:r>
      <w:rPr>
        <w:rFonts w:ascii="Palatino Linotype" w:hAnsi="Palatino Linotype"/>
        <w:i/>
        <w:iCs/>
        <w:sz w:val="16"/>
        <w:szCs w:val="16"/>
      </w:rPr>
      <mc:AlternateContent>
        <mc:Choice Requires="wps">
          <w:drawing>
            <wp:anchor distT="0" distB="0" distL="114300" distR="114300" simplePos="0" relativeHeight="251654656" behindDoc="0" locked="0" layoutInCell="1" allowOverlap="1" wp14:anchorId="3B4AFF77" wp14:editId="47373D64">
              <wp:simplePos x="0" y="0"/>
              <wp:positionH relativeFrom="column">
                <wp:posOffset>3175</wp:posOffset>
              </wp:positionH>
              <wp:positionV relativeFrom="paragraph">
                <wp:posOffset>163526</wp:posOffset>
              </wp:positionV>
              <wp:extent cx="57505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 o:spid="_x0000_s2049" style="mso-wrap-distance-bottom:0;mso-wrap-distance-left:9pt;mso-wrap-distance-right:9pt;mso-wrap-distance-top:0;mso-wrap-style:square;position:absolute;visibility:visible;z-index:251659264" from="0.25pt,12.9pt" to="453.05pt,12.9pt" strokecolor="black" strokeweight="1pt">
              <v:stroke joinstyle="miter"/>
            </v:line>
          </w:pict>
        </mc:Fallback>
      </mc:AlternateContent>
    </w:r>
    <w:r w:rsidR="000D5860" w:rsidRPr="000D5860">
      <w:rPr>
        <w:rFonts w:ascii="Palatino Linotype" w:hAnsi="Palatino Linotype"/>
        <w:i/>
        <w:iCs/>
        <w:sz w:val="16"/>
        <w:szCs w:val="16"/>
      </w:rPr>
      <w:t>Loso Judijanto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FD9FB" w14:textId="77777777" w:rsidR="00DF6DDC" w:rsidRPr="00DF6DDC" w:rsidRDefault="00000000" w:rsidP="00DF6DDC">
    <w:pPr>
      <w:pStyle w:val="Header"/>
      <w:jc w:val="both"/>
      <w:rPr>
        <w:rFonts w:ascii="Palatino Linotype" w:hAnsi="Palatino Linotype"/>
        <w:b/>
        <w:bCs/>
        <w:sz w:val="16"/>
        <w:szCs w:val="16"/>
        <w:highlight w:val="white"/>
      </w:rPr>
    </w:pPr>
    <w:r w:rsidRPr="00345856">
      <w:rPr>
        <w:rFonts w:ascii="Palatino Linotype" w:hAnsi="Palatino Linotype"/>
        <w:b/>
        <w:bCs/>
        <w:i/>
        <w:iCs/>
        <w:sz w:val="18"/>
        <w:szCs w:val="18"/>
        <w:lang w:val="id-ID" w:eastAsia="id-ID"/>
      </w:rPr>
      <mc:AlternateContent>
        <mc:Choice Requires="wps">
          <w:drawing>
            <wp:anchor distT="0" distB="0" distL="114300" distR="114300" simplePos="0" relativeHeight="251656704" behindDoc="0" locked="0" layoutInCell="1" allowOverlap="1" wp14:anchorId="2D3B08E9" wp14:editId="4CD1957B">
              <wp:simplePos x="0" y="0"/>
              <wp:positionH relativeFrom="column">
                <wp:posOffset>9525</wp:posOffset>
              </wp:positionH>
              <wp:positionV relativeFrom="paragraph">
                <wp:posOffset>171450</wp:posOffset>
              </wp:positionV>
              <wp:extent cx="57505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2050" style="mso-wrap-distance-bottom:0;mso-wrap-distance-left:9pt;mso-wrap-distance-right:9pt;mso-wrap-distance-top:0;mso-wrap-style:square;position:absolute;visibility:visible;z-index:251661312" from="0.75pt,13.5pt" to="453.55pt,13.5pt" strokecolor="black" strokeweight="1pt">
              <v:stroke joinstyle="miter"/>
            </v:line>
          </w:pict>
        </mc:Fallback>
      </mc:AlternateContent>
    </w:r>
    <w:r w:rsidR="00901901" w:rsidRPr="00901901">
      <w:t xml:space="preserve"> </w:t>
    </w:r>
    <w:r w:rsidR="00901901" w:rsidRPr="00901901">
      <w:rPr>
        <w:rFonts w:ascii="Palatino Linotype" w:hAnsi="Palatino Linotype"/>
        <w:b/>
        <w:bCs/>
        <w:i/>
        <w:iCs/>
        <w:sz w:val="18"/>
        <w:szCs w:val="18"/>
        <w:lang w:val="id-ID" w:eastAsia="id-ID"/>
      </w:rPr>
      <w:t>Ijogma: Indonesian Journal of Global Management</w:t>
    </w:r>
    <w:r>
      <w:rPr>
        <w:rFonts w:ascii="Cambria" w:hAnsi="Cambria"/>
        <w:highlight w:val="white"/>
      </w:rPr>
      <w:tab/>
    </w:r>
  </w:p>
  <w:p w14:paraId="6C4A5742" w14:textId="77777777" w:rsidR="00D9731A" w:rsidRPr="00DF6DDC" w:rsidRDefault="00D9731A" w:rsidP="00DF6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805"/>
      <w:gridCol w:w="3313"/>
    </w:tblGrid>
    <w:tr w:rsidR="00674C34" w14:paraId="4D299BC2" w14:textId="77777777" w:rsidTr="007C0EC0">
      <w:trPr>
        <w:jc w:val="center"/>
      </w:trPr>
      <w:tc>
        <w:tcPr>
          <w:tcW w:w="2126" w:type="dxa"/>
        </w:tcPr>
        <w:p w14:paraId="056C3C35" w14:textId="77777777" w:rsidR="00901901" w:rsidRPr="00DE4DBA" w:rsidRDefault="00000000" w:rsidP="00901901">
          <w:pPr>
            <w:pStyle w:val="Header"/>
            <w:spacing w:after="0" w:line="276" w:lineRule="auto"/>
            <w:contextualSpacing/>
            <w:rPr>
              <w:rFonts w:ascii="Palatino Linotype" w:hAnsi="Palatino Linotype"/>
              <w:sz w:val="16"/>
              <w:szCs w:val="16"/>
            </w:rPr>
          </w:pPr>
          <w:r w:rsidRPr="00DE4DBA">
            <w:rPr>
              <w:rFonts w:ascii="Palatino Linotype" w:hAnsi="Palatino Linotype"/>
              <w:sz w:val="16"/>
              <w:szCs w:val="16"/>
            </w:rPr>
            <w:t xml:space="preserve">Volume 1 Number </w:t>
          </w:r>
          <w:r>
            <w:rPr>
              <w:rFonts w:ascii="Palatino Linotype" w:hAnsi="Palatino Linotype"/>
              <w:sz w:val="16"/>
              <w:szCs w:val="16"/>
            </w:rPr>
            <w:t>2</w:t>
          </w:r>
          <w:r w:rsidRPr="00DE4DBA">
            <w:rPr>
              <w:rFonts w:ascii="Palatino Linotype" w:hAnsi="Palatino Linotype"/>
              <w:sz w:val="16"/>
              <w:szCs w:val="16"/>
            </w:rPr>
            <w:t xml:space="preserve"> (2023)</w:t>
          </w:r>
        </w:p>
        <w:p w14:paraId="244E6DBC" w14:textId="77777777" w:rsidR="00901901" w:rsidRPr="00DE4DBA" w:rsidRDefault="00000000" w:rsidP="00901901">
          <w:pPr>
            <w:pStyle w:val="Header"/>
            <w:spacing w:after="0" w:line="276" w:lineRule="auto"/>
            <w:contextualSpacing/>
            <w:rPr>
              <w:rFonts w:ascii="Palatino Linotype" w:hAnsi="Palatino Linotype"/>
              <w:sz w:val="16"/>
              <w:szCs w:val="16"/>
            </w:rPr>
          </w:pPr>
          <w:r w:rsidRPr="00DE4DBA">
            <w:rPr>
              <w:rFonts w:ascii="Palatino Linotype" w:hAnsi="Palatino Linotype"/>
              <w:sz w:val="16"/>
              <w:szCs w:val="16"/>
            </w:rPr>
            <w:t>J</w:t>
          </w:r>
          <w:r>
            <w:rPr>
              <w:rFonts w:ascii="Palatino Linotype" w:hAnsi="Palatino Linotype"/>
              <w:sz w:val="16"/>
              <w:szCs w:val="16"/>
            </w:rPr>
            <w:t>ul</w:t>
          </w:r>
          <w:r w:rsidRPr="00DE4DBA">
            <w:rPr>
              <w:rFonts w:ascii="Palatino Linotype" w:hAnsi="Palatino Linotype"/>
              <w:sz w:val="16"/>
              <w:szCs w:val="16"/>
            </w:rPr>
            <w:t xml:space="preserve">y – </w:t>
          </w:r>
          <w:r>
            <w:rPr>
              <w:rFonts w:ascii="Palatino Linotype" w:hAnsi="Palatino Linotype"/>
              <w:sz w:val="16"/>
              <w:szCs w:val="16"/>
            </w:rPr>
            <w:t>December</w:t>
          </w:r>
          <w:r w:rsidRPr="00DE4DBA">
            <w:rPr>
              <w:rFonts w:ascii="Palatino Linotype" w:hAnsi="Palatino Linotype"/>
              <w:sz w:val="16"/>
              <w:szCs w:val="16"/>
            </w:rPr>
            <w:t xml:space="preserve"> 2023</w:t>
          </w:r>
        </w:p>
        <w:p w14:paraId="6FD48CC7" w14:textId="700CED4D" w:rsidR="00901901" w:rsidRPr="00A27839" w:rsidRDefault="00000000" w:rsidP="00901901">
          <w:pPr>
            <w:pStyle w:val="Header"/>
            <w:spacing w:after="0" w:line="276" w:lineRule="auto"/>
            <w:contextualSpacing/>
            <w:rPr>
              <w:rFonts w:ascii="Palatino Linotype" w:hAnsi="Palatino Linotype"/>
              <w:sz w:val="18"/>
              <w:szCs w:val="18"/>
            </w:rPr>
          </w:pPr>
          <w:r w:rsidRPr="00DE4DBA">
            <w:rPr>
              <w:rFonts w:ascii="Palatino Linotype" w:hAnsi="Palatino Linotype"/>
              <w:sz w:val="16"/>
              <w:szCs w:val="16"/>
            </w:rPr>
            <w:t xml:space="preserve">Page: </w:t>
          </w:r>
          <w:r w:rsidR="009F2981">
            <w:rPr>
              <w:rFonts w:ascii="Palatino Linotype" w:hAnsi="Palatino Linotype"/>
              <w:sz w:val="16"/>
              <w:szCs w:val="16"/>
            </w:rPr>
            <w:t>23</w:t>
          </w:r>
          <w:r w:rsidRPr="00DE4DBA">
            <w:rPr>
              <w:rFonts w:ascii="Palatino Linotype" w:hAnsi="Palatino Linotype"/>
              <w:sz w:val="16"/>
              <w:szCs w:val="16"/>
            </w:rPr>
            <w:t>-</w:t>
          </w:r>
          <w:r w:rsidR="009F2981">
            <w:rPr>
              <w:rFonts w:ascii="Palatino Linotype" w:hAnsi="Palatino Linotype"/>
              <w:sz w:val="16"/>
              <w:szCs w:val="16"/>
            </w:rPr>
            <w:t>31</w:t>
          </w:r>
        </w:p>
      </w:tc>
      <w:tc>
        <w:tcPr>
          <w:tcW w:w="3805" w:type="dxa"/>
        </w:tcPr>
        <w:p w14:paraId="48299312" w14:textId="77777777" w:rsidR="00901901" w:rsidRPr="004E127A" w:rsidRDefault="00000000" w:rsidP="00901901">
          <w:pPr>
            <w:pStyle w:val="Header"/>
            <w:spacing w:after="0" w:line="240" w:lineRule="auto"/>
            <w:contextualSpacing/>
            <w:jc w:val="center"/>
            <w:rPr>
              <w:rFonts w:ascii="Palatino Linotype" w:hAnsi="Palatino Linotype"/>
              <w:sz w:val="20"/>
            </w:rPr>
          </w:pPr>
          <w:r w:rsidRPr="004E127A">
            <w:rPr>
              <w:rFonts w:ascii="Palatino Linotype" w:hAnsi="Palatino Linotype"/>
              <w:sz w:val="20"/>
            </w:rPr>
            <w:t>ijogma: Indonesian Journal of Global Management</w:t>
          </w:r>
        </w:p>
        <w:p w14:paraId="7DFBFF37" w14:textId="77777777" w:rsidR="00901901" w:rsidRPr="00A27839" w:rsidRDefault="00000000" w:rsidP="00901901">
          <w:pPr>
            <w:pStyle w:val="Header"/>
            <w:spacing w:after="0" w:line="240" w:lineRule="auto"/>
            <w:contextualSpacing/>
            <w:jc w:val="center"/>
            <w:rPr>
              <w:rFonts w:ascii="Palatino Linotype" w:hAnsi="Palatino Linotype"/>
              <w:sz w:val="18"/>
              <w:szCs w:val="18"/>
            </w:rPr>
          </w:pPr>
          <w:r w:rsidRPr="000730A8">
            <w:rPr>
              <w:rFonts w:ascii="Palatino Linotype" w:hAnsi="Palatino Linotype"/>
              <w:sz w:val="16"/>
              <w:szCs w:val="16"/>
            </w:rPr>
            <w:t>https://edujavare.com/index.php/ijogma</w:t>
          </w:r>
        </w:p>
      </w:tc>
      <w:tc>
        <w:tcPr>
          <w:tcW w:w="3313" w:type="dxa"/>
        </w:tcPr>
        <w:p w14:paraId="477ACD7A" w14:textId="77777777" w:rsidR="00901901" w:rsidRPr="00223C23" w:rsidRDefault="00000000" w:rsidP="00901901">
          <w:pPr>
            <w:spacing w:line="240" w:lineRule="auto"/>
            <w:ind w:right="6"/>
            <w:rPr>
              <w:rFonts w:ascii="Palatino Linotype" w:hAnsi="Palatino Linotype"/>
              <w:sz w:val="22"/>
              <w:szCs w:val="22"/>
            </w:rPr>
          </w:pPr>
          <w:r w:rsidRPr="00223C23">
            <w:rPr>
              <w:rFonts w:ascii="Palatino Linotype" w:hAnsi="Palatino Linotype"/>
              <w:noProof/>
              <w:sz w:val="22"/>
              <w:szCs w:val="22"/>
            </w:rPr>
            <w:drawing>
              <wp:anchor distT="0" distB="0" distL="114300" distR="114300" simplePos="0" relativeHeight="251660800" behindDoc="1" locked="0" layoutInCell="1" allowOverlap="1" wp14:anchorId="5BC97786" wp14:editId="5AFB30EF">
                <wp:simplePos x="0" y="0"/>
                <wp:positionH relativeFrom="page">
                  <wp:posOffset>72138</wp:posOffset>
                </wp:positionH>
                <wp:positionV relativeFrom="page">
                  <wp:posOffset>62649</wp:posOffset>
                </wp:positionV>
                <wp:extent cx="2001329" cy="466725"/>
                <wp:effectExtent l="0" t="0" r="0" b="0"/>
                <wp:wrapNone/>
                <wp:docPr id="381674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74299" name=""/>
                        <pic:cNvPicPr/>
                      </pic:nvPicPr>
                      <pic:blipFill>
                        <a:blip r:embed="rId1"/>
                        <a:stretch>
                          <a:fillRect/>
                        </a:stretch>
                      </pic:blipFill>
                      <pic:spPr>
                        <a:xfrm>
                          <a:off x="0" y="0"/>
                          <a:ext cx="2047827" cy="477569"/>
                        </a:xfrm>
                        <a:prstGeom prst="rect">
                          <a:avLst/>
                        </a:prstGeom>
                      </pic:spPr>
                    </pic:pic>
                  </a:graphicData>
                </a:graphic>
                <wp14:sizeRelH relativeFrom="margin">
                  <wp14:pctWidth>0</wp14:pctWidth>
                </wp14:sizeRelH>
                <wp14:sizeRelV relativeFrom="margin">
                  <wp14:pctHeight>0</wp14:pctHeight>
                </wp14:sizeRelV>
              </wp:anchor>
            </w:drawing>
          </w:r>
        </w:p>
      </w:tc>
    </w:tr>
  </w:tbl>
  <w:p w14:paraId="50494488" w14:textId="77777777" w:rsidR="00901901" w:rsidRPr="00145913" w:rsidRDefault="00000000" w:rsidP="00901901">
    <w:pPr>
      <w:pStyle w:val="AmlCopyright"/>
      <w:jc w:val="left"/>
      <w:rPr>
        <w:i w:val="0"/>
        <w:iCs/>
        <w:color w:val="0000FF"/>
        <w:sz w:val="20"/>
        <w:szCs w:val="20"/>
      </w:rPr>
    </w:pPr>
    <w:r>
      <w:rPr>
        <w:noProof/>
      </w:rPr>
      <mc:AlternateContent>
        <mc:Choice Requires="wps">
          <w:drawing>
            <wp:anchor distT="0" distB="0" distL="114300" distR="114300" simplePos="0" relativeHeight="251659776" behindDoc="0" locked="0" layoutInCell="1" allowOverlap="1" wp14:anchorId="7191382F" wp14:editId="6B254A79">
              <wp:simplePos x="0" y="0"/>
              <wp:positionH relativeFrom="column">
                <wp:posOffset>635</wp:posOffset>
              </wp:positionH>
              <wp:positionV relativeFrom="paragraph">
                <wp:posOffset>89906</wp:posOffset>
              </wp:positionV>
              <wp:extent cx="5738884" cy="0"/>
              <wp:effectExtent l="0" t="19050" r="33655" b="19050"/>
              <wp:wrapNone/>
              <wp:docPr id="127" name="Straight Connector 127"/>
              <wp:cNvGraphicFramePr/>
              <a:graphic xmlns:a="http://schemas.openxmlformats.org/drawingml/2006/main">
                <a:graphicData uri="http://schemas.microsoft.com/office/word/2010/wordprocessingShape">
                  <wps:wsp>
                    <wps:cNvCnPr/>
                    <wps:spPr>
                      <a:xfrm>
                        <a:off x="0" y="0"/>
                        <a:ext cx="5738884" cy="0"/>
                      </a:xfrm>
                      <a:prstGeom prst="line">
                        <a:avLst/>
                      </a:prstGeom>
                      <a:noFill/>
                      <a:ln w="38100" cmpd="tri">
                        <a:solidFill>
                          <a:sysClr val="windowText" lastClr="000000"/>
                        </a:solidFill>
                        <a:prstDash val="solid"/>
                        <a:miter lim="800000"/>
                      </a:ln>
                      <a:effectLst/>
                    </wps:spPr>
                    <wps:bodyPr/>
                  </wps:wsp>
                </a:graphicData>
              </a:graphic>
            </wp:anchor>
          </w:drawing>
        </mc:Choice>
        <mc:Fallback>
          <w:pict>
            <v:line id="Straight Connector 127" o:spid="_x0000_s2053" style="mso-wrap-distance-bottom:0;mso-wrap-distance-left:9pt;mso-wrap-distance-right:9pt;mso-wrap-distance-top:0;mso-wrap-style:square;position:absolute;visibility:visible;z-index:251663360" from="0.05pt,7.1pt" to="451.95pt,7.1pt" strokecolor="black" strokeweight="3pt">
              <v:stroke joinstyle="miter" linestyle="thickBetweenThin"/>
            </v:line>
          </w:pict>
        </mc:Fallback>
      </mc:AlternateContent>
    </w:r>
  </w:p>
  <w:p w14:paraId="25D6F431" w14:textId="77777777" w:rsidR="00901901" w:rsidRDefault="00901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C125A"/>
    <w:multiLevelType w:val="hybridMultilevel"/>
    <w:tmpl w:val="9176FF94"/>
    <w:lvl w:ilvl="0" w:tplc="2F52DCF8">
      <w:start w:val="2"/>
      <w:numFmt w:val="decimal"/>
      <w:lvlText w:val="%1."/>
      <w:lvlJc w:val="left"/>
      <w:pPr>
        <w:ind w:left="1004" w:hanging="360"/>
      </w:pPr>
      <w:rPr>
        <w:rFonts w:hint="default"/>
      </w:rPr>
    </w:lvl>
    <w:lvl w:ilvl="1" w:tplc="D7A684E2" w:tentative="1">
      <w:start w:val="1"/>
      <w:numFmt w:val="lowerLetter"/>
      <w:lvlText w:val="%2."/>
      <w:lvlJc w:val="left"/>
      <w:pPr>
        <w:ind w:left="1724" w:hanging="360"/>
      </w:pPr>
    </w:lvl>
    <w:lvl w:ilvl="2" w:tplc="48F6803C" w:tentative="1">
      <w:start w:val="1"/>
      <w:numFmt w:val="lowerRoman"/>
      <w:lvlText w:val="%3."/>
      <w:lvlJc w:val="right"/>
      <w:pPr>
        <w:ind w:left="2444" w:hanging="180"/>
      </w:pPr>
    </w:lvl>
    <w:lvl w:ilvl="3" w:tplc="F08E06E0" w:tentative="1">
      <w:start w:val="1"/>
      <w:numFmt w:val="decimal"/>
      <w:lvlText w:val="%4."/>
      <w:lvlJc w:val="left"/>
      <w:pPr>
        <w:ind w:left="3164" w:hanging="360"/>
      </w:pPr>
    </w:lvl>
    <w:lvl w:ilvl="4" w:tplc="070A4ABA" w:tentative="1">
      <w:start w:val="1"/>
      <w:numFmt w:val="lowerLetter"/>
      <w:lvlText w:val="%5."/>
      <w:lvlJc w:val="left"/>
      <w:pPr>
        <w:ind w:left="3884" w:hanging="360"/>
      </w:pPr>
    </w:lvl>
    <w:lvl w:ilvl="5" w:tplc="1292A7A2" w:tentative="1">
      <w:start w:val="1"/>
      <w:numFmt w:val="lowerRoman"/>
      <w:lvlText w:val="%6."/>
      <w:lvlJc w:val="right"/>
      <w:pPr>
        <w:ind w:left="4604" w:hanging="180"/>
      </w:pPr>
    </w:lvl>
    <w:lvl w:ilvl="6" w:tplc="A3D6C3CC" w:tentative="1">
      <w:start w:val="1"/>
      <w:numFmt w:val="decimal"/>
      <w:lvlText w:val="%7."/>
      <w:lvlJc w:val="left"/>
      <w:pPr>
        <w:ind w:left="5324" w:hanging="360"/>
      </w:pPr>
    </w:lvl>
    <w:lvl w:ilvl="7" w:tplc="0EC03F6C" w:tentative="1">
      <w:start w:val="1"/>
      <w:numFmt w:val="lowerLetter"/>
      <w:lvlText w:val="%8."/>
      <w:lvlJc w:val="left"/>
      <w:pPr>
        <w:ind w:left="6044" w:hanging="360"/>
      </w:pPr>
    </w:lvl>
    <w:lvl w:ilvl="8" w:tplc="85E667EC" w:tentative="1">
      <w:start w:val="1"/>
      <w:numFmt w:val="lowerRoman"/>
      <w:lvlText w:val="%9."/>
      <w:lvlJc w:val="right"/>
      <w:pPr>
        <w:ind w:left="6764" w:hanging="180"/>
      </w:pPr>
    </w:lvl>
  </w:abstractNum>
  <w:abstractNum w:abstractNumId="1" w15:restartNumberingAfterBreak="0">
    <w:nsid w:val="0C7E7948"/>
    <w:multiLevelType w:val="hybridMultilevel"/>
    <w:tmpl w:val="47B0AE1E"/>
    <w:lvl w:ilvl="0" w:tplc="1CE03C9E">
      <w:start w:val="1"/>
      <w:numFmt w:val="bullet"/>
      <w:lvlText w:val=""/>
      <w:lvlJc w:val="left"/>
      <w:pPr>
        <w:ind w:left="720" w:hanging="360"/>
      </w:pPr>
      <w:rPr>
        <w:rFonts w:ascii="Symbol" w:hAnsi="Symbol" w:hint="default"/>
      </w:rPr>
    </w:lvl>
    <w:lvl w:ilvl="1" w:tplc="E786A5BC" w:tentative="1">
      <w:start w:val="1"/>
      <w:numFmt w:val="bullet"/>
      <w:lvlText w:val="o"/>
      <w:lvlJc w:val="left"/>
      <w:pPr>
        <w:ind w:left="1440" w:hanging="360"/>
      </w:pPr>
      <w:rPr>
        <w:rFonts w:ascii="Courier New" w:hAnsi="Courier New" w:cs="Courier New" w:hint="default"/>
      </w:rPr>
    </w:lvl>
    <w:lvl w:ilvl="2" w:tplc="9EBACAC2" w:tentative="1">
      <w:start w:val="1"/>
      <w:numFmt w:val="bullet"/>
      <w:lvlText w:val=""/>
      <w:lvlJc w:val="left"/>
      <w:pPr>
        <w:ind w:left="2160" w:hanging="360"/>
      </w:pPr>
      <w:rPr>
        <w:rFonts w:ascii="Wingdings" w:hAnsi="Wingdings" w:hint="default"/>
      </w:rPr>
    </w:lvl>
    <w:lvl w:ilvl="3" w:tplc="0D4EB3DE" w:tentative="1">
      <w:start w:val="1"/>
      <w:numFmt w:val="bullet"/>
      <w:lvlText w:val=""/>
      <w:lvlJc w:val="left"/>
      <w:pPr>
        <w:ind w:left="2880" w:hanging="360"/>
      </w:pPr>
      <w:rPr>
        <w:rFonts w:ascii="Symbol" w:hAnsi="Symbol" w:hint="default"/>
      </w:rPr>
    </w:lvl>
    <w:lvl w:ilvl="4" w:tplc="CE7E505A" w:tentative="1">
      <w:start w:val="1"/>
      <w:numFmt w:val="bullet"/>
      <w:lvlText w:val="o"/>
      <w:lvlJc w:val="left"/>
      <w:pPr>
        <w:ind w:left="3600" w:hanging="360"/>
      </w:pPr>
      <w:rPr>
        <w:rFonts w:ascii="Courier New" w:hAnsi="Courier New" w:cs="Courier New" w:hint="default"/>
      </w:rPr>
    </w:lvl>
    <w:lvl w:ilvl="5" w:tplc="0B5639B8" w:tentative="1">
      <w:start w:val="1"/>
      <w:numFmt w:val="bullet"/>
      <w:lvlText w:val=""/>
      <w:lvlJc w:val="left"/>
      <w:pPr>
        <w:ind w:left="4320" w:hanging="360"/>
      </w:pPr>
      <w:rPr>
        <w:rFonts w:ascii="Wingdings" w:hAnsi="Wingdings" w:hint="default"/>
      </w:rPr>
    </w:lvl>
    <w:lvl w:ilvl="6" w:tplc="B722294C" w:tentative="1">
      <w:start w:val="1"/>
      <w:numFmt w:val="bullet"/>
      <w:lvlText w:val=""/>
      <w:lvlJc w:val="left"/>
      <w:pPr>
        <w:ind w:left="5040" w:hanging="360"/>
      </w:pPr>
      <w:rPr>
        <w:rFonts w:ascii="Symbol" w:hAnsi="Symbol" w:hint="default"/>
      </w:rPr>
    </w:lvl>
    <w:lvl w:ilvl="7" w:tplc="B2306392" w:tentative="1">
      <w:start w:val="1"/>
      <w:numFmt w:val="bullet"/>
      <w:lvlText w:val="o"/>
      <w:lvlJc w:val="left"/>
      <w:pPr>
        <w:ind w:left="5760" w:hanging="360"/>
      </w:pPr>
      <w:rPr>
        <w:rFonts w:ascii="Courier New" w:hAnsi="Courier New" w:cs="Courier New" w:hint="default"/>
      </w:rPr>
    </w:lvl>
    <w:lvl w:ilvl="8" w:tplc="2F763460" w:tentative="1">
      <w:start w:val="1"/>
      <w:numFmt w:val="bullet"/>
      <w:lvlText w:val=""/>
      <w:lvlJc w:val="left"/>
      <w:pPr>
        <w:ind w:left="6480" w:hanging="360"/>
      </w:pPr>
      <w:rPr>
        <w:rFonts w:ascii="Wingdings" w:hAnsi="Wingdings" w:hint="default"/>
      </w:rPr>
    </w:lvl>
  </w:abstractNum>
  <w:abstractNum w:abstractNumId="2" w15:restartNumberingAfterBreak="0">
    <w:nsid w:val="12D76CCC"/>
    <w:multiLevelType w:val="multilevel"/>
    <w:tmpl w:val="92A8C2D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16654C89"/>
    <w:multiLevelType w:val="hybridMultilevel"/>
    <w:tmpl w:val="D10A0F58"/>
    <w:lvl w:ilvl="0" w:tplc="EAB6E04A">
      <w:start w:val="1"/>
      <w:numFmt w:val="decimal"/>
      <w:lvlText w:val="%1."/>
      <w:lvlJc w:val="left"/>
      <w:pPr>
        <w:ind w:left="720" w:hanging="360"/>
      </w:pPr>
      <w:rPr>
        <w:rFonts w:hint="default"/>
      </w:rPr>
    </w:lvl>
    <w:lvl w:ilvl="1" w:tplc="17683916" w:tentative="1">
      <w:start w:val="1"/>
      <w:numFmt w:val="lowerLetter"/>
      <w:lvlText w:val="%2."/>
      <w:lvlJc w:val="left"/>
      <w:pPr>
        <w:ind w:left="1440" w:hanging="360"/>
      </w:pPr>
    </w:lvl>
    <w:lvl w:ilvl="2" w:tplc="5944E414" w:tentative="1">
      <w:start w:val="1"/>
      <w:numFmt w:val="lowerRoman"/>
      <w:lvlText w:val="%3."/>
      <w:lvlJc w:val="right"/>
      <w:pPr>
        <w:ind w:left="2160" w:hanging="180"/>
      </w:pPr>
    </w:lvl>
    <w:lvl w:ilvl="3" w:tplc="5C164DB0" w:tentative="1">
      <w:start w:val="1"/>
      <w:numFmt w:val="decimal"/>
      <w:lvlText w:val="%4."/>
      <w:lvlJc w:val="left"/>
      <w:pPr>
        <w:ind w:left="2880" w:hanging="360"/>
      </w:pPr>
    </w:lvl>
    <w:lvl w:ilvl="4" w:tplc="EEE457A6" w:tentative="1">
      <w:start w:val="1"/>
      <w:numFmt w:val="lowerLetter"/>
      <w:lvlText w:val="%5."/>
      <w:lvlJc w:val="left"/>
      <w:pPr>
        <w:ind w:left="3600" w:hanging="360"/>
      </w:pPr>
    </w:lvl>
    <w:lvl w:ilvl="5" w:tplc="DFDEE2F0" w:tentative="1">
      <w:start w:val="1"/>
      <w:numFmt w:val="lowerRoman"/>
      <w:lvlText w:val="%6."/>
      <w:lvlJc w:val="right"/>
      <w:pPr>
        <w:ind w:left="4320" w:hanging="180"/>
      </w:pPr>
    </w:lvl>
    <w:lvl w:ilvl="6" w:tplc="C172C09E" w:tentative="1">
      <w:start w:val="1"/>
      <w:numFmt w:val="decimal"/>
      <w:lvlText w:val="%7."/>
      <w:lvlJc w:val="left"/>
      <w:pPr>
        <w:ind w:left="5040" w:hanging="360"/>
      </w:pPr>
    </w:lvl>
    <w:lvl w:ilvl="7" w:tplc="14267AE2" w:tentative="1">
      <w:start w:val="1"/>
      <w:numFmt w:val="lowerLetter"/>
      <w:lvlText w:val="%8."/>
      <w:lvlJc w:val="left"/>
      <w:pPr>
        <w:ind w:left="5760" w:hanging="360"/>
      </w:pPr>
    </w:lvl>
    <w:lvl w:ilvl="8" w:tplc="CC9863F4" w:tentative="1">
      <w:start w:val="1"/>
      <w:numFmt w:val="lowerRoman"/>
      <w:lvlText w:val="%9."/>
      <w:lvlJc w:val="right"/>
      <w:pPr>
        <w:ind w:left="6480" w:hanging="180"/>
      </w:pPr>
    </w:lvl>
  </w:abstractNum>
  <w:abstractNum w:abstractNumId="4" w15:restartNumberingAfterBreak="0">
    <w:nsid w:val="18553C32"/>
    <w:multiLevelType w:val="multilevel"/>
    <w:tmpl w:val="2E9210B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A706EBC"/>
    <w:multiLevelType w:val="hybridMultilevel"/>
    <w:tmpl w:val="E61A217A"/>
    <w:lvl w:ilvl="0" w:tplc="7830356A">
      <w:start w:val="1"/>
      <w:numFmt w:val="decimal"/>
      <w:lvlText w:val="%1."/>
      <w:lvlJc w:val="left"/>
      <w:pPr>
        <w:ind w:left="644" w:hanging="360"/>
      </w:pPr>
      <w:rPr>
        <w:rFonts w:hint="default"/>
        <w:b w:val="0"/>
        <w:bCs/>
      </w:rPr>
    </w:lvl>
    <w:lvl w:ilvl="1" w:tplc="75DE497E" w:tentative="1">
      <w:start w:val="1"/>
      <w:numFmt w:val="lowerLetter"/>
      <w:lvlText w:val="%2."/>
      <w:lvlJc w:val="left"/>
      <w:pPr>
        <w:ind w:left="1364" w:hanging="360"/>
      </w:pPr>
    </w:lvl>
    <w:lvl w:ilvl="2" w:tplc="EE7CBF8A" w:tentative="1">
      <w:start w:val="1"/>
      <w:numFmt w:val="lowerRoman"/>
      <w:lvlText w:val="%3."/>
      <w:lvlJc w:val="right"/>
      <w:pPr>
        <w:ind w:left="2084" w:hanging="180"/>
      </w:pPr>
    </w:lvl>
    <w:lvl w:ilvl="3" w:tplc="8C16A40E" w:tentative="1">
      <w:start w:val="1"/>
      <w:numFmt w:val="decimal"/>
      <w:lvlText w:val="%4."/>
      <w:lvlJc w:val="left"/>
      <w:pPr>
        <w:ind w:left="2804" w:hanging="360"/>
      </w:pPr>
    </w:lvl>
    <w:lvl w:ilvl="4" w:tplc="4A286D94" w:tentative="1">
      <w:start w:val="1"/>
      <w:numFmt w:val="lowerLetter"/>
      <w:lvlText w:val="%5."/>
      <w:lvlJc w:val="left"/>
      <w:pPr>
        <w:ind w:left="3524" w:hanging="360"/>
      </w:pPr>
    </w:lvl>
    <w:lvl w:ilvl="5" w:tplc="5FBACB74" w:tentative="1">
      <w:start w:val="1"/>
      <w:numFmt w:val="lowerRoman"/>
      <w:lvlText w:val="%6."/>
      <w:lvlJc w:val="right"/>
      <w:pPr>
        <w:ind w:left="4244" w:hanging="180"/>
      </w:pPr>
    </w:lvl>
    <w:lvl w:ilvl="6" w:tplc="DBA02236" w:tentative="1">
      <w:start w:val="1"/>
      <w:numFmt w:val="decimal"/>
      <w:lvlText w:val="%7."/>
      <w:lvlJc w:val="left"/>
      <w:pPr>
        <w:ind w:left="4964" w:hanging="360"/>
      </w:pPr>
    </w:lvl>
    <w:lvl w:ilvl="7" w:tplc="B2E0DB0C" w:tentative="1">
      <w:start w:val="1"/>
      <w:numFmt w:val="lowerLetter"/>
      <w:lvlText w:val="%8."/>
      <w:lvlJc w:val="left"/>
      <w:pPr>
        <w:ind w:left="5684" w:hanging="360"/>
      </w:pPr>
    </w:lvl>
    <w:lvl w:ilvl="8" w:tplc="DF72C9EE" w:tentative="1">
      <w:start w:val="1"/>
      <w:numFmt w:val="lowerRoman"/>
      <w:lvlText w:val="%9."/>
      <w:lvlJc w:val="right"/>
      <w:pPr>
        <w:ind w:left="6404" w:hanging="180"/>
      </w:pPr>
    </w:lvl>
  </w:abstractNum>
  <w:abstractNum w:abstractNumId="6" w15:restartNumberingAfterBreak="0">
    <w:nsid w:val="1B2B670E"/>
    <w:multiLevelType w:val="hybridMultilevel"/>
    <w:tmpl w:val="B4966D54"/>
    <w:lvl w:ilvl="0" w:tplc="C3D2DA28">
      <w:start w:val="1"/>
      <w:numFmt w:val="decimal"/>
      <w:lvlText w:val="%1."/>
      <w:lvlJc w:val="left"/>
      <w:pPr>
        <w:ind w:left="720" w:hanging="360"/>
      </w:pPr>
      <w:rPr>
        <w:rFonts w:hint="default"/>
      </w:rPr>
    </w:lvl>
    <w:lvl w:ilvl="1" w:tplc="C352D1E8" w:tentative="1">
      <w:start w:val="1"/>
      <w:numFmt w:val="lowerLetter"/>
      <w:lvlText w:val="%2."/>
      <w:lvlJc w:val="left"/>
      <w:pPr>
        <w:ind w:left="1440" w:hanging="360"/>
      </w:pPr>
    </w:lvl>
    <w:lvl w:ilvl="2" w:tplc="2B769BAE" w:tentative="1">
      <w:start w:val="1"/>
      <w:numFmt w:val="lowerRoman"/>
      <w:lvlText w:val="%3."/>
      <w:lvlJc w:val="right"/>
      <w:pPr>
        <w:ind w:left="2160" w:hanging="180"/>
      </w:pPr>
    </w:lvl>
    <w:lvl w:ilvl="3" w:tplc="EF16DC7E" w:tentative="1">
      <w:start w:val="1"/>
      <w:numFmt w:val="decimal"/>
      <w:lvlText w:val="%4."/>
      <w:lvlJc w:val="left"/>
      <w:pPr>
        <w:ind w:left="2880" w:hanging="360"/>
      </w:pPr>
    </w:lvl>
    <w:lvl w:ilvl="4" w:tplc="555884DE" w:tentative="1">
      <w:start w:val="1"/>
      <w:numFmt w:val="lowerLetter"/>
      <w:lvlText w:val="%5."/>
      <w:lvlJc w:val="left"/>
      <w:pPr>
        <w:ind w:left="3600" w:hanging="360"/>
      </w:pPr>
    </w:lvl>
    <w:lvl w:ilvl="5" w:tplc="D200CD5C" w:tentative="1">
      <w:start w:val="1"/>
      <w:numFmt w:val="lowerRoman"/>
      <w:lvlText w:val="%6."/>
      <w:lvlJc w:val="right"/>
      <w:pPr>
        <w:ind w:left="4320" w:hanging="180"/>
      </w:pPr>
    </w:lvl>
    <w:lvl w:ilvl="6" w:tplc="FB58F8F8" w:tentative="1">
      <w:start w:val="1"/>
      <w:numFmt w:val="decimal"/>
      <w:lvlText w:val="%7."/>
      <w:lvlJc w:val="left"/>
      <w:pPr>
        <w:ind w:left="5040" w:hanging="360"/>
      </w:pPr>
    </w:lvl>
    <w:lvl w:ilvl="7" w:tplc="D42C1E2E" w:tentative="1">
      <w:start w:val="1"/>
      <w:numFmt w:val="lowerLetter"/>
      <w:lvlText w:val="%8."/>
      <w:lvlJc w:val="left"/>
      <w:pPr>
        <w:ind w:left="5760" w:hanging="360"/>
      </w:pPr>
    </w:lvl>
    <w:lvl w:ilvl="8" w:tplc="4E2E91A6" w:tentative="1">
      <w:start w:val="1"/>
      <w:numFmt w:val="lowerRoman"/>
      <w:lvlText w:val="%9."/>
      <w:lvlJc w:val="right"/>
      <w:pPr>
        <w:ind w:left="6480" w:hanging="180"/>
      </w:pPr>
    </w:lvl>
  </w:abstractNum>
  <w:abstractNum w:abstractNumId="7" w15:restartNumberingAfterBreak="0">
    <w:nsid w:val="1CD4228E"/>
    <w:multiLevelType w:val="hybridMultilevel"/>
    <w:tmpl w:val="AFD2B110"/>
    <w:lvl w:ilvl="0" w:tplc="81C28F8A">
      <w:start w:val="1"/>
      <w:numFmt w:val="decimal"/>
      <w:lvlText w:val="%1."/>
      <w:lvlJc w:val="left"/>
      <w:pPr>
        <w:ind w:left="720" w:hanging="360"/>
      </w:pPr>
    </w:lvl>
    <w:lvl w:ilvl="1" w:tplc="2FB0FB64" w:tentative="1">
      <w:start w:val="1"/>
      <w:numFmt w:val="lowerLetter"/>
      <w:lvlText w:val="%2."/>
      <w:lvlJc w:val="left"/>
      <w:pPr>
        <w:ind w:left="1440" w:hanging="360"/>
      </w:pPr>
    </w:lvl>
    <w:lvl w:ilvl="2" w:tplc="C47C7582" w:tentative="1">
      <w:start w:val="1"/>
      <w:numFmt w:val="lowerRoman"/>
      <w:lvlText w:val="%3."/>
      <w:lvlJc w:val="right"/>
      <w:pPr>
        <w:ind w:left="2160" w:hanging="180"/>
      </w:pPr>
    </w:lvl>
    <w:lvl w:ilvl="3" w:tplc="8354D3BE" w:tentative="1">
      <w:start w:val="1"/>
      <w:numFmt w:val="decimal"/>
      <w:lvlText w:val="%4."/>
      <w:lvlJc w:val="left"/>
      <w:pPr>
        <w:ind w:left="2880" w:hanging="360"/>
      </w:pPr>
    </w:lvl>
    <w:lvl w:ilvl="4" w:tplc="AA34350A" w:tentative="1">
      <w:start w:val="1"/>
      <w:numFmt w:val="lowerLetter"/>
      <w:lvlText w:val="%5."/>
      <w:lvlJc w:val="left"/>
      <w:pPr>
        <w:ind w:left="3600" w:hanging="360"/>
      </w:pPr>
    </w:lvl>
    <w:lvl w:ilvl="5" w:tplc="3118ACB8" w:tentative="1">
      <w:start w:val="1"/>
      <w:numFmt w:val="lowerRoman"/>
      <w:lvlText w:val="%6."/>
      <w:lvlJc w:val="right"/>
      <w:pPr>
        <w:ind w:left="4320" w:hanging="180"/>
      </w:pPr>
    </w:lvl>
    <w:lvl w:ilvl="6" w:tplc="C5420330" w:tentative="1">
      <w:start w:val="1"/>
      <w:numFmt w:val="decimal"/>
      <w:lvlText w:val="%7."/>
      <w:lvlJc w:val="left"/>
      <w:pPr>
        <w:ind w:left="5040" w:hanging="360"/>
      </w:pPr>
    </w:lvl>
    <w:lvl w:ilvl="7" w:tplc="92623412" w:tentative="1">
      <w:start w:val="1"/>
      <w:numFmt w:val="lowerLetter"/>
      <w:lvlText w:val="%8."/>
      <w:lvlJc w:val="left"/>
      <w:pPr>
        <w:ind w:left="5760" w:hanging="360"/>
      </w:pPr>
    </w:lvl>
    <w:lvl w:ilvl="8" w:tplc="26889B3E" w:tentative="1">
      <w:start w:val="1"/>
      <w:numFmt w:val="lowerRoman"/>
      <w:lvlText w:val="%9."/>
      <w:lvlJc w:val="right"/>
      <w:pPr>
        <w:ind w:left="6480" w:hanging="180"/>
      </w:pPr>
    </w:lvl>
  </w:abstractNum>
  <w:abstractNum w:abstractNumId="8" w15:restartNumberingAfterBreak="0">
    <w:nsid w:val="1EF02738"/>
    <w:multiLevelType w:val="hybridMultilevel"/>
    <w:tmpl w:val="73A4FA02"/>
    <w:lvl w:ilvl="0" w:tplc="5DE8F936">
      <w:start w:val="1"/>
      <w:numFmt w:val="decimal"/>
      <w:lvlText w:val="%1)"/>
      <w:lvlJc w:val="left"/>
      <w:pPr>
        <w:ind w:left="1440" w:hanging="360"/>
      </w:pPr>
    </w:lvl>
    <w:lvl w:ilvl="1" w:tplc="17D0CD38" w:tentative="1">
      <w:start w:val="1"/>
      <w:numFmt w:val="lowerLetter"/>
      <w:lvlText w:val="%2."/>
      <w:lvlJc w:val="left"/>
      <w:pPr>
        <w:ind w:left="2160" w:hanging="360"/>
      </w:pPr>
    </w:lvl>
    <w:lvl w:ilvl="2" w:tplc="82A8E814" w:tentative="1">
      <w:start w:val="1"/>
      <w:numFmt w:val="lowerRoman"/>
      <w:lvlText w:val="%3."/>
      <w:lvlJc w:val="right"/>
      <w:pPr>
        <w:ind w:left="2880" w:hanging="180"/>
      </w:pPr>
    </w:lvl>
    <w:lvl w:ilvl="3" w:tplc="DDEADA5A" w:tentative="1">
      <w:start w:val="1"/>
      <w:numFmt w:val="decimal"/>
      <w:lvlText w:val="%4."/>
      <w:lvlJc w:val="left"/>
      <w:pPr>
        <w:ind w:left="3600" w:hanging="360"/>
      </w:pPr>
    </w:lvl>
    <w:lvl w:ilvl="4" w:tplc="689A5FE2" w:tentative="1">
      <w:start w:val="1"/>
      <w:numFmt w:val="lowerLetter"/>
      <w:lvlText w:val="%5."/>
      <w:lvlJc w:val="left"/>
      <w:pPr>
        <w:ind w:left="4320" w:hanging="360"/>
      </w:pPr>
    </w:lvl>
    <w:lvl w:ilvl="5" w:tplc="C4DCAE4E" w:tentative="1">
      <w:start w:val="1"/>
      <w:numFmt w:val="lowerRoman"/>
      <w:lvlText w:val="%6."/>
      <w:lvlJc w:val="right"/>
      <w:pPr>
        <w:ind w:left="5040" w:hanging="180"/>
      </w:pPr>
    </w:lvl>
    <w:lvl w:ilvl="6" w:tplc="80909686" w:tentative="1">
      <w:start w:val="1"/>
      <w:numFmt w:val="decimal"/>
      <w:lvlText w:val="%7."/>
      <w:lvlJc w:val="left"/>
      <w:pPr>
        <w:ind w:left="5760" w:hanging="360"/>
      </w:pPr>
    </w:lvl>
    <w:lvl w:ilvl="7" w:tplc="35B24B60" w:tentative="1">
      <w:start w:val="1"/>
      <w:numFmt w:val="lowerLetter"/>
      <w:lvlText w:val="%8."/>
      <w:lvlJc w:val="left"/>
      <w:pPr>
        <w:ind w:left="6480" w:hanging="360"/>
      </w:pPr>
    </w:lvl>
    <w:lvl w:ilvl="8" w:tplc="37923210" w:tentative="1">
      <w:start w:val="1"/>
      <w:numFmt w:val="lowerRoman"/>
      <w:lvlText w:val="%9."/>
      <w:lvlJc w:val="right"/>
      <w:pPr>
        <w:ind w:left="7200" w:hanging="180"/>
      </w:pPr>
    </w:lvl>
  </w:abstractNum>
  <w:abstractNum w:abstractNumId="9"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960760"/>
    <w:multiLevelType w:val="multilevel"/>
    <w:tmpl w:val="1256D5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79E19E4"/>
    <w:multiLevelType w:val="hybridMultilevel"/>
    <w:tmpl w:val="A7CEFB28"/>
    <w:lvl w:ilvl="0" w:tplc="0D8E5794">
      <w:start w:val="1"/>
      <w:numFmt w:val="decimal"/>
      <w:lvlText w:val="%1."/>
      <w:lvlJc w:val="left"/>
      <w:pPr>
        <w:ind w:left="720" w:hanging="360"/>
      </w:pPr>
      <w:rPr>
        <w:rFonts w:hint="default"/>
        <w:i w:val="0"/>
      </w:rPr>
    </w:lvl>
    <w:lvl w:ilvl="1" w:tplc="47F62D5A" w:tentative="1">
      <w:start w:val="1"/>
      <w:numFmt w:val="lowerLetter"/>
      <w:lvlText w:val="%2."/>
      <w:lvlJc w:val="left"/>
      <w:pPr>
        <w:ind w:left="1440" w:hanging="360"/>
      </w:pPr>
    </w:lvl>
    <w:lvl w:ilvl="2" w:tplc="3614FC8E" w:tentative="1">
      <w:start w:val="1"/>
      <w:numFmt w:val="lowerRoman"/>
      <w:lvlText w:val="%3."/>
      <w:lvlJc w:val="right"/>
      <w:pPr>
        <w:ind w:left="2160" w:hanging="180"/>
      </w:pPr>
    </w:lvl>
    <w:lvl w:ilvl="3" w:tplc="7AD0E346" w:tentative="1">
      <w:start w:val="1"/>
      <w:numFmt w:val="decimal"/>
      <w:lvlText w:val="%4."/>
      <w:lvlJc w:val="left"/>
      <w:pPr>
        <w:ind w:left="2880" w:hanging="360"/>
      </w:pPr>
    </w:lvl>
    <w:lvl w:ilvl="4" w:tplc="B12EAA6E" w:tentative="1">
      <w:start w:val="1"/>
      <w:numFmt w:val="lowerLetter"/>
      <w:lvlText w:val="%5."/>
      <w:lvlJc w:val="left"/>
      <w:pPr>
        <w:ind w:left="3600" w:hanging="360"/>
      </w:pPr>
    </w:lvl>
    <w:lvl w:ilvl="5" w:tplc="AA921866" w:tentative="1">
      <w:start w:val="1"/>
      <w:numFmt w:val="lowerRoman"/>
      <w:lvlText w:val="%6."/>
      <w:lvlJc w:val="right"/>
      <w:pPr>
        <w:ind w:left="4320" w:hanging="180"/>
      </w:pPr>
    </w:lvl>
    <w:lvl w:ilvl="6" w:tplc="6100C2B0" w:tentative="1">
      <w:start w:val="1"/>
      <w:numFmt w:val="decimal"/>
      <w:lvlText w:val="%7."/>
      <w:lvlJc w:val="left"/>
      <w:pPr>
        <w:ind w:left="5040" w:hanging="360"/>
      </w:pPr>
    </w:lvl>
    <w:lvl w:ilvl="7" w:tplc="4AD8C916" w:tentative="1">
      <w:start w:val="1"/>
      <w:numFmt w:val="lowerLetter"/>
      <w:lvlText w:val="%8."/>
      <w:lvlJc w:val="left"/>
      <w:pPr>
        <w:ind w:left="5760" w:hanging="360"/>
      </w:pPr>
    </w:lvl>
    <w:lvl w:ilvl="8" w:tplc="EBF4A2E4" w:tentative="1">
      <w:start w:val="1"/>
      <w:numFmt w:val="lowerRoman"/>
      <w:lvlText w:val="%9."/>
      <w:lvlJc w:val="right"/>
      <w:pPr>
        <w:ind w:left="6480" w:hanging="180"/>
      </w:pPr>
    </w:lvl>
  </w:abstractNum>
  <w:abstractNum w:abstractNumId="13" w15:restartNumberingAfterBreak="0">
    <w:nsid w:val="27E1248D"/>
    <w:multiLevelType w:val="hybridMultilevel"/>
    <w:tmpl w:val="F1BA149A"/>
    <w:lvl w:ilvl="0" w:tplc="2C38DCB6">
      <w:start w:val="1"/>
      <w:numFmt w:val="decimal"/>
      <w:pStyle w:val="Alishlah37itemize"/>
      <w:lvlText w:val="%1."/>
      <w:lvlJc w:val="left"/>
      <w:pPr>
        <w:ind w:left="720" w:hanging="360"/>
      </w:pPr>
    </w:lvl>
    <w:lvl w:ilvl="1" w:tplc="CDDAC1D4" w:tentative="1">
      <w:start w:val="1"/>
      <w:numFmt w:val="lowerLetter"/>
      <w:lvlText w:val="%2."/>
      <w:lvlJc w:val="left"/>
      <w:pPr>
        <w:ind w:left="1440" w:hanging="360"/>
      </w:pPr>
    </w:lvl>
    <w:lvl w:ilvl="2" w:tplc="8FDECFDE" w:tentative="1">
      <w:start w:val="1"/>
      <w:numFmt w:val="lowerRoman"/>
      <w:lvlText w:val="%3."/>
      <w:lvlJc w:val="right"/>
      <w:pPr>
        <w:ind w:left="2160" w:hanging="180"/>
      </w:pPr>
    </w:lvl>
    <w:lvl w:ilvl="3" w:tplc="0BAE7FE6" w:tentative="1">
      <w:start w:val="1"/>
      <w:numFmt w:val="decimal"/>
      <w:lvlText w:val="%4."/>
      <w:lvlJc w:val="left"/>
      <w:pPr>
        <w:ind w:left="2880" w:hanging="360"/>
      </w:pPr>
    </w:lvl>
    <w:lvl w:ilvl="4" w:tplc="37E488B8" w:tentative="1">
      <w:start w:val="1"/>
      <w:numFmt w:val="lowerLetter"/>
      <w:lvlText w:val="%5."/>
      <w:lvlJc w:val="left"/>
      <w:pPr>
        <w:ind w:left="3600" w:hanging="360"/>
      </w:pPr>
    </w:lvl>
    <w:lvl w:ilvl="5" w:tplc="64F8F26E" w:tentative="1">
      <w:start w:val="1"/>
      <w:numFmt w:val="lowerRoman"/>
      <w:lvlText w:val="%6."/>
      <w:lvlJc w:val="right"/>
      <w:pPr>
        <w:ind w:left="4320" w:hanging="180"/>
      </w:pPr>
    </w:lvl>
    <w:lvl w:ilvl="6" w:tplc="3082341C" w:tentative="1">
      <w:start w:val="1"/>
      <w:numFmt w:val="decimal"/>
      <w:lvlText w:val="%7."/>
      <w:lvlJc w:val="left"/>
      <w:pPr>
        <w:ind w:left="5040" w:hanging="360"/>
      </w:pPr>
    </w:lvl>
    <w:lvl w:ilvl="7" w:tplc="6D221404" w:tentative="1">
      <w:start w:val="1"/>
      <w:numFmt w:val="lowerLetter"/>
      <w:lvlText w:val="%8."/>
      <w:lvlJc w:val="left"/>
      <w:pPr>
        <w:ind w:left="5760" w:hanging="360"/>
      </w:pPr>
    </w:lvl>
    <w:lvl w:ilvl="8" w:tplc="492EF298" w:tentative="1">
      <w:start w:val="1"/>
      <w:numFmt w:val="lowerRoman"/>
      <w:lvlText w:val="%9."/>
      <w:lvlJc w:val="right"/>
      <w:pPr>
        <w:ind w:left="6480" w:hanging="180"/>
      </w:pPr>
    </w:lvl>
  </w:abstractNum>
  <w:abstractNum w:abstractNumId="14" w15:restartNumberingAfterBreak="0">
    <w:nsid w:val="286D05B8"/>
    <w:multiLevelType w:val="hybridMultilevel"/>
    <w:tmpl w:val="6E1A64AA"/>
    <w:lvl w:ilvl="0" w:tplc="192E83BA">
      <w:start w:val="1"/>
      <w:numFmt w:val="lowerLetter"/>
      <w:lvlText w:val="%1."/>
      <w:lvlJc w:val="left"/>
      <w:pPr>
        <w:ind w:left="786" w:hanging="360"/>
      </w:pPr>
      <w:rPr>
        <w:rFonts w:hint="default"/>
      </w:rPr>
    </w:lvl>
    <w:lvl w:ilvl="1" w:tplc="069E286C" w:tentative="1">
      <w:start w:val="1"/>
      <w:numFmt w:val="lowerLetter"/>
      <w:lvlText w:val="%2."/>
      <w:lvlJc w:val="left"/>
      <w:pPr>
        <w:ind w:left="1506" w:hanging="360"/>
      </w:pPr>
    </w:lvl>
    <w:lvl w:ilvl="2" w:tplc="10DE53D2" w:tentative="1">
      <w:start w:val="1"/>
      <w:numFmt w:val="lowerRoman"/>
      <w:lvlText w:val="%3."/>
      <w:lvlJc w:val="right"/>
      <w:pPr>
        <w:ind w:left="2226" w:hanging="180"/>
      </w:pPr>
    </w:lvl>
    <w:lvl w:ilvl="3" w:tplc="2F4CCFFA" w:tentative="1">
      <w:start w:val="1"/>
      <w:numFmt w:val="decimal"/>
      <w:lvlText w:val="%4."/>
      <w:lvlJc w:val="left"/>
      <w:pPr>
        <w:ind w:left="2946" w:hanging="360"/>
      </w:pPr>
    </w:lvl>
    <w:lvl w:ilvl="4" w:tplc="4E6CE07A" w:tentative="1">
      <w:start w:val="1"/>
      <w:numFmt w:val="lowerLetter"/>
      <w:lvlText w:val="%5."/>
      <w:lvlJc w:val="left"/>
      <w:pPr>
        <w:ind w:left="3666" w:hanging="360"/>
      </w:pPr>
    </w:lvl>
    <w:lvl w:ilvl="5" w:tplc="4BB4BCF2" w:tentative="1">
      <w:start w:val="1"/>
      <w:numFmt w:val="lowerRoman"/>
      <w:lvlText w:val="%6."/>
      <w:lvlJc w:val="right"/>
      <w:pPr>
        <w:ind w:left="4386" w:hanging="180"/>
      </w:pPr>
    </w:lvl>
    <w:lvl w:ilvl="6" w:tplc="3920E318" w:tentative="1">
      <w:start w:val="1"/>
      <w:numFmt w:val="decimal"/>
      <w:lvlText w:val="%7."/>
      <w:lvlJc w:val="left"/>
      <w:pPr>
        <w:ind w:left="5106" w:hanging="360"/>
      </w:pPr>
    </w:lvl>
    <w:lvl w:ilvl="7" w:tplc="B31E06EE" w:tentative="1">
      <w:start w:val="1"/>
      <w:numFmt w:val="lowerLetter"/>
      <w:lvlText w:val="%8."/>
      <w:lvlJc w:val="left"/>
      <w:pPr>
        <w:ind w:left="5826" w:hanging="360"/>
      </w:pPr>
    </w:lvl>
    <w:lvl w:ilvl="8" w:tplc="3EB89C4E" w:tentative="1">
      <w:start w:val="1"/>
      <w:numFmt w:val="lowerRoman"/>
      <w:lvlText w:val="%9."/>
      <w:lvlJc w:val="right"/>
      <w:pPr>
        <w:ind w:left="6546" w:hanging="180"/>
      </w:pPr>
    </w:lvl>
  </w:abstractNum>
  <w:abstractNum w:abstractNumId="15" w15:restartNumberingAfterBreak="0">
    <w:nsid w:val="28DE7F6C"/>
    <w:multiLevelType w:val="hybridMultilevel"/>
    <w:tmpl w:val="3D3C9A2C"/>
    <w:lvl w:ilvl="0" w:tplc="7D2A1136">
      <w:start w:val="1"/>
      <w:numFmt w:val="decimal"/>
      <w:lvlText w:val="(%1)"/>
      <w:lvlJc w:val="left"/>
      <w:pPr>
        <w:ind w:left="1440" w:hanging="360"/>
      </w:pPr>
      <w:rPr>
        <w:rFonts w:hint="default"/>
      </w:rPr>
    </w:lvl>
    <w:lvl w:ilvl="1" w:tplc="8026B3EC" w:tentative="1">
      <w:start w:val="1"/>
      <w:numFmt w:val="lowerLetter"/>
      <w:lvlText w:val="%2."/>
      <w:lvlJc w:val="left"/>
      <w:pPr>
        <w:ind w:left="2160" w:hanging="360"/>
      </w:pPr>
    </w:lvl>
    <w:lvl w:ilvl="2" w:tplc="01547628" w:tentative="1">
      <w:start w:val="1"/>
      <w:numFmt w:val="lowerRoman"/>
      <w:lvlText w:val="%3."/>
      <w:lvlJc w:val="right"/>
      <w:pPr>
        <w:ind w:left="2880" w:hanging="180"/>
      </w:pPr>
    </w:lvl>
    <w:lvl w:ilvl="3" w:tplc="77021656" w:tentative="1">
      <w:start w:val="1"/>
      <w:numFmt w:val="decimal"/>
      <w:lvlText w:val="%4."/>
      <w:lvlJc w:val="left"/>
      <w:pPr>
        <w:ind w:left="3600" w:hanging="360"/>
      </w:pPr>
    </w:lvl>
    <w:lvl w:ilvl="4" w:tplc="43BE4480" w:tentative="1">
      <w:start w:val="1"/>
      <w:numFmt w:val="lowerLetter"/>
      <w:lvlText w:val="%5."/>
      <w:lvlJc w:val="left"/>
      <w:pPr>
        <w:ind w:left="4320" w:hanging="360"/>
      </w:pPr>
    </w:lvl>
    <w:lvl w:ilvl="5" w:tplc="6590DDFC" w:tentative="1">
      <w:start w:val="1"/>
      <w:numFmt w:val="lowerRoman"/>
      <w:lvlText w:val="%6."/>
      <w:lvlJc w:val="right"/>
      <w:pPr>
        <w:ind w:left="5040" w:hanging="180"/>
      </w:pPr>
    </w:lvl>
    <w:lvl w:ilvl="6" w:tplc="8EA2879A" w:tentative="1">
      <w:start w:val="1"/>
      <w:numFmt w:val="decimal"/>
      <w:lvlText w:val="%7."/>
      <w:lvlJc w:val="left"/>
      <w:pPr>
        <w:ind w:left="5760" w:hanging="360"/>
      </w:pPr>
    </w:lvl>
    <w:lvl w:ilvl="7" w:tplc="A83201CA" w:tentative="1">
      <w:start w:val="1"/>
      <w:numFmt w:val="lowerLetter"/>
      <w:lvlText w:val="%8."/>
      <w:lvlJc w:val="left"/>
      <w:pPr>
        <w:ind w:left="6480" w:hanging="360"/>
      </w:pPr>
    </w:lvl>
    <w:lvl w:ilvl="8" w:tplc="1DF8F608" w:tentative="1">
      <w:start w:val="1"/>
      <w:numFmt w:val="lowerRoman"/>
      <w:lvlText w:val="%9."/>
      <w:lvlJc w:val="right"/>
      <w:pPr>
        <w:ind w:left="7200" w:hanging="180"/>
      </w:pPr>
    </w:lvl>
  </w:abstractNum>
  <w:abstractNum w:abstractNumId="16" w15:restartNumberingAfterBreak="0">
    <w:nsid w:val="2C574781"/>
    <w:multiLevelType w:val="multilevel"/>
    <w:tmpl w:val="E6166B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32F226D9"/>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3573EDE"/>
    <w:multiLevelType w:val="hybridMultilevel"/>
    <w:tmpl w:val="A1F8503E"/>
    <w:lvl w:ilvl="0" w:tplc="DE3887C8">
      <w:start w:val="1"/>
      <w:numFmt w:val="decimal"/>
      <w:lvlText w:val="%1."/>
      <w:lvlJc w:val="left"/>
      <w:pPr>
        <w:ind w:left="720" w:hanging="360"/>
      </w:pPr>
      <w:rPr>
        <w:rFonts w:hint="default"/>
      </w:rPr>
    </w:lvl>
    <w:lvl w:ilvl="1" w:tplc="70AE2E2C" w:tentative="1">
      <w:start w:val="1"/>
      <w:numFmt w:val="lowerLetter"/>
      <w:lvlText w:val="%2."/>
      <w:lvlJc w:val="left"/>
      <w:pPr>
        <w:ind w:left="1440" w:hanging="360"/>
      </w:pPr>
    </w:lvl>
    <w:lvl w:ilvl="2" w:tplc="DE588896" w:tentative="1">
      <w:start w:val="1"/>
      <w:numFmt w:val="lowerRoman"/>
      <w:lvlText w:val="%3."/>
      <w:lvlJc w:val="right"/>
      <w:pPr>
        <w:ind w:left="2160" w:hanging="180"/>
      </w:pPr>
    </w:lvl>
    <w:lvl w:ilvl="3" w:tplc="498840D6" w:tentative="1">
      <w:start w:val="1"/>
      <w:numFmt w:val="decimal"/>
      <w:lvlText w:val="%4."/>
      <w:lvlJc w:val="left"/>
      <w:pPr>
        <w:ind w:left="2880" w:hanging="360"/>
      </w:pPr>
    </w:lvl>
    <w:lvl w:ilvl="4" w:tplc="E0E675B2" w:tentative="1">
      <w:start w:val="1"/>
      <w:numFmt w:val="lowerLetter"/>
      <w:lvlText w:val="%5."/>
      <w:lvlJc w:val="left"/>
      <w:pPr>
        <w:ind w:left="3600" w:hanging="360"/>
      </w:pPr>
    </w:lvl>
    <w:lvl w:ilvl="5" w:tplc="CF4C3EF4" w:tentative="1">
      <w:start w:val="1"/>
      <w:numFmt w:val="lowerRoman"/>
      <w:lvlText w:val="%6."/>
      <w:lvlJc w:val="right"/>
      <w:pPr>
        <w:ind w:left="4320" w:hanging="180"/>
      </w:pPr>
    </w:lvl>
    <w:lvl w:ilvl="6" w:tplc="951CCCCE" w:tentative="1">
      <w:start w:val="1"/>
      <w:numFmt w:val="decimal"/>
      <w:lvlText w:val="%7."/>
      <w:lvlJc w:val="left"/>
      <w:pPr>
        <w:ind w:left="5040" w:hanging="360"/>
      </w:pPr>
    </w:lvl>
    <w:lvl w:ilvl="7" w:tplc="A01860A6" w:tentative="1">
      <w:start w:val="1"/>
      <w:numFmt w:val="lowerLetter"/>
      <w:lvlText w:val="%8."/>
      <w:lvlJc w:val="left"/>
      <w:pPr>
        <w:ind w:left="5760" w:hanging="360"/>
      </w:pPr>
    </w:lvl>
    <w:lvl w:ilvl="8" w:tplc="23BC3D2E" w:tentative="1">
      <w:start w:val="1"/>
      <w:numFmt w:val="lowerRoman"/>
      <w:lvlText w:val="%9."/>
      <w:lvlJc w:val="right"/>
      <w:pPr>
        <w:ind w:left="6480" w:hanging="180"/>
      </w:pPr>
    </w:lvl>
  </w:abstractNum>
  <w:abstractNum w:abstractNumId="19" w15:restartNumberingAfterBreak="0">
    <w:nsid w:val="369A6535"/>
    <w:multiLevelType w:val="hybridMultilevel"/>
    <w:tmpl w:val="3CB68362"/>
    <w:lvl w:ilvl="0" w:tplc="924E3D16">
      <w:start w:val="1"/>
      <w:numFmt w:val="bullet"/>
      <w:pStyle w:val="Alishlah38bullet"/>
      <w:lvlText w:val=""/>
      <w:lvlJc w:val="left"/>
      <w:pPr>
        <w:ind w:left="1429" w:hanging="360"/>
      </w:pPr>
      <w:rPr>
        <w:rFonts w:ascii="Symbol" w:hAnsi="Symbol" w:hint="default"/>
      </w:rPr>
    </w:lvl>
    <w:lvl w:ilvl="1" w:tplc="F390A0AE" w:tentative="1">
      <w:start w:val="1"/>
      <w:numFmt w:val="bullet"/>
      <w:lvlText w:val="o"/>
      <w:lvlJc w:val="left"/>
      <w:pPr>
        <w:ind w:left="2149" w:hanging="360"/>
      </w:pPr>
      <w:rPr>
        <w:rFonts w:ascii="Courier New" w:hAnsi="Courier New" w:cs="Courier New" w:hint="default"/>
      </w:rPr>
    </w:lvl>
    <w:lvl w:ilvl="2" w:tplc="A740DB7E" w:tentative="1">
      <w:start w:val="1"/>
      <w:numFmt w:val="bullet"/>
      <w:lvlText w:val=""/>
      <w:lvlJc w:val="left"/>
      <w:pPr>
        <w:ind w:left="2869" w:hanging="360"/>
      </w:pPr>
      <w:rPr>
        <w:rFonts w:ascii="Wingdings" w:hAnsi="Wingdings" w:hint="default"/>
      </w:rPr>
    </w:lvl>
    <w:lvl w:ilvl="3" w:tplc="024C9122" w:tentative="1">
      <w:start w:val="1"/>
      <w:numFmt w:val="bullet"/>
      <w:lvlText w:val=""/>
      <w:lvlJc w:val="left"/>
      <w:pPr>
        <w:ind w:left="3589" w:hanging="360"/>
      </w:pPr>
      <w:rPr>
        <w:rFonts w:ascii="Symbol" w:hAnsi="Symbol" w:hint="default"/>
      </w:rPr>
    </w:lvl>
    <w:lvl w:ilvl="4" w:tplc="3F4834B6" w:tentative="1">
      <w:start w:val="1"/>
      <w:numFmt w:val="bullet"/>
      <w:lvlText w:val="o"/>
      <w:lvlJc w:val="left"/>
      <w:pPr>
        <w:ind w:left="4309" w:hanging="360"/>
      </w:pPr>
      <w:rPr>
        <w:rFonts w:ascii="Courier New" w:hAnsi="Courier New" w:cs="Courier New" w:hint="default"/>
      </w:rPr>
    </w:lvl>
    <w:lvl w:ilvl="5" w:tplc="B54A4EF4" w:tentative="1">
      <w:start w:val="1"/>
      <w:numFmt w:val="bullet"/>
      <w:lvlText w:val=""/>
      <w:lvlJc w:val="left"/>
      <w:pPr>
        <w:ind w:left="5029" w:hanging="360"/>
      </w:pPr>
      <w:rPr>
        <w:rFonts w:ascii="Wingdings" w:hAnsi="Wingdings" w:hint="default"/>
      </w:rPr>
    </w:lvl>
    <w:lvl w:ilvl="6" w:tplc="7F929168" w:tentative="1">
      <w:start w:val="1"/>
      <w:numFmt w:val="bullet"/>
      <w:lvlText w:val=""/>
      <w:lvlJc w:val="left"/>
      <w:pPr>
        <w:ind w:left="5749" w:hanging="360"/>
      </w:pPr>
      <w:rPr>
        <w:rFonts w:ascii="Symbol" w:hAnsi="Symbol" w:hint="default"/>
      </w:rPr>
    </w:lvl>
    <w:lvl w:ilvl="7" w:tplc="CA1E7A2C" w:tentative="1">
      <w:start w:val="1"/>
      <w:numFmt w:val="bullet"/>
      <w:lvlText w:val="o"/>
      <w:lvlJc w:val="left"/>
      <w:pPr>
        <w:ind w:left="6469" w:hanging="360"/>
      </w:pPr>
      <w:rPr>
        <w:rFonts w:ascii="Courier New" w:hAnsi="Courier New" w:cs="Courier New" w:hint="default"/>
      </w:rPr>
    </w:lvl>
    <w:lvl w:ilvl="8" w:tplc="451CA8DE" w:tentative="1">
      <w:start w:val="1"/>
      <w:numFmt w:val="bullet"/>
      <w:lvlText w:val=""/>
      <w:lvlJc w:val="left"/>
      <w:pPr>
        <w:ind w:left="7189" w:hanging="360"/>
      </w:pPr>
      <w:rPr>
        <w:rFonts w:ascii="Wingdings" w:hAnsi="Wingdings" w:hint="default"/>
      </w:rPr>
    </w:lvl>
  </w:abstractNum>
  <w:abstractNum w:abstractNumId="20" w15:restartNumberingAfterBreak="0">
    <w:nsid w:val="3E9215AA"/>
    <w:multiLevelType w:val="hybridMultilevel"/>
    <w:tmpl w:val="F7AE8122"/>
    <w:lvl w:ilvl="0" w:tplc="E430826A">
      <w:start w:val="1"/>
      <w:numFmt w:val="decimal"/>
      <w:lvlText w:val="%1."/>
      <w:lvlJc w:val="left"/>
      <w:pPr>
        <w:ind w:left="927" w:hanging="360"/>
      </w:pPr>
      <w:rPr>
        <w:rFonts w:hint="default"/>
      </w:rPr>
    </w:lvl>
    <w:lvl w:ilvl="1" w:tplc="AB5C6294" w:tentative="1">
      <w:start w:val="1"/>
      <w:numFmt w:val="lowerLetter"/>
      <w:lvlText w:val="%2."/>
      <w:lvlJc w:val="left"/>
      <w:pPr>
        <w:ind w:left="1647" w:hanging="360"/>
      </w:pPr>
    </w:lvl>
    <w:lvl w:ilvl="2" w:tplc="3954BB88" w:tentative="1">
      <w:start w:val="1"/>
      <w:numFmt w:val="lowerRoman"/>
      <w:lvlText w:val="%3."/>
      <w:lvlJc w:val="right"/>
      <w:pPr>
        <w:ind w:left="2367" w:hanging="180"/>
      </w:pPr>
    </w:lvl>
    <w:lvl w:ilvl="3" w:tplc="FA507E54" w:tentative="1">
      <w:start w:val="1"/>
      <w:numFmt w:val="decimal"/>
      <w:lvlText w:val="%4."/>
      <w:lvlJc w:val="left"/>
      <w:pPr>
        <w:ind w:left="3087" w:hanging="360"/>
      </w:pPr>
    </w:lvl>
    <w:lvl w:ilvl="4" w:tplc="DC265068" w:tentative="1">
      <w:start w:val="1"/>
      <w:numFmt w:val="lowerLetter"/>
      <w:lvlText w:val="%5."/>
      <w:lvlJc w:val="left"/>
      <w:pPr>
        <w:ind w:left="3807" w:hanging="360"/>
      </w:pPr>
    </w:lvl>
    <w:lvl w:ilvl="5" w:tplc="14FA16B8" w:tentative="1">
      <w:start w:val="1"/>
      <w:numFmt w:val="lowerRoman"/>
      <w:lvlText w:val="%6."/>
      <w:lvlJc w:val="right"/>
      <w:pPr>
        <w:ind w:left="4527" w:hanging="180"/>
      </w:pPr>
    </w:lvl>
    <w:lvl w:ilvl="6" w:tplc="FBC8B894" w:tentative="1">
      <w:start w:val="1"/>
      <w:numFmt w:val="decimal"/>
      <w:lvlText w:val="%7."/>
      <w:lvlJc w:val="left"/>
      <w:pPr>
        <w:ind w:left="5247" w:hanging="360"/>
      </w:pPr>
    </w:lvl>
    <w:lvl w:ilvl="7" w:tplc="81F06792" w:tentative="1">
      <w:start w:val="1"/>
      <w:numFmt w:val="lowerLetter"/>
      <w:lvlText w:val="%8."/>
      <w:lvlJc w:val="left"/>
      <w:pPr>
        <w:ind w:left="5967" w:hanging="360"/>
      </w:pPr>
    </w:lvl>
    <w:lvl w:ilvl="8" w:tplc="D3A4BEF4" w:tentative="1">
      <w:start w:val="1"/>
      <w:numFmt w:val="lowerRoman"/>
      <w:lvlText w:val="%9."/>
      <w:lvlJc w:val="right"/>
      <w:pPr>
        <w:ind w:left="6687" w:hanging="180"/>
      </w:pPr>
    </w:lvl>
  </w:abstractNum>
  <w:abstractNum w:abstractNumId="21" w15:restartNumberingAfterBreak="0">
    <w:nsid w:val="488F46E4"/>
    <w:multiLevelType w:val="multilevel"/>
    <w:tmpl w:val="DBAC13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9C484F"/>
    <w:multiLevelType w:val="hybridMultilevel"/>
    <w:tmpl w:val="6234B8EA"/>
    <w:lvl w:ilvl="0" w:tplc="056AEC1E">
      <w:start w:val="1"/>
      <w:numFmt w:val="decimal"/>
      <w:lvlText w:val="%1."/>
      <w:lvlJc w:val="left"/>
      <w:pPr>
        <w:ind w:left="720" w:hanging="360"/>
      </w:pPr>
    </w:lvl>
    <w:lvl w:ilvl="1" w:tplc="E76EE26C" w:tentative="1">
      <w:start w:val="1"/>
      <w:numFmt w:val="lowerLetter"/>
      <w:lvlText w:val="%2."/>
      <w:lvlJc w:val="left"/>
      <w:pPr>
        <w:ind w:left="1440" w:hanging="360"/>
      </w:pPr>
    </w:lvl>
    <w:lvl w:ilvl="2" w:tplc="EB187E92" w:tentative="1">
      <w:start w:val="1"/>
      <w:numFmt w:val="lowerRoman"/>
      <w:lvlText w:val="%3."/>
      <w:lvlJc w:val="right"/>
      <w:pPr>
        <w:ind w:left="2160" w:hanging="180"/>
      </w:pPr>
    </w:lvl>
    <w:lvl w:ilvl="3" w:tplc="21AACE28" w:tentative="1">
      <w:start w:val="1"/>
      <w:numFmt w:val="decimal"/>
      <w:lvlText w:val="%4."/>
      <w:lvlJc w:val="left"/>
      <w:pPr>
        <w:ind w:left="2880" w:hanging="360"/>
      </w:pPr>
    </w:lvl>
    <w:lvl w:ilvl="4" w:tplc="505A20F6" w:tentative="1">
      <w:start w:val="1"/>
      <w:numFmt w:val="lowerLetter"/>
      <w:lvlText w:val="%5."/>
      <w:lvlJc w:val="left"/>
      <w:pPr>
        <w:ind w:left="3600" w:hanging="360"/>
      </w:pPr>
    </w:lvl>
    <w:lvl w:ilvl="5" w:tplc="C3C26872" w:tentative="1">
      <w:start w:val="1"/>
      <w:numFmt w:val="lowerRoman"/>
      <w:lvlText w:val="%6."/>
      <w:lvlJc w:val="right"/>
      <w:pPr>
        <w:ind w:left="4320" w:hanging="180"/>
      </w:pPr>
    </w:lvl>
    <w:lvl w:ilvl="6" w:tplc="3BAA7CF0" w:tentative="1">
      <w:start w:val="1"/>
      <w:numFmt w:val="decimal"/>
      <w:lvlText w:val="%7."/>
      <w:lvlJc w:val="left"/>
      <w:pPr>
        <w:ind w:left="5040" w:hanging="360"/>
      </w:pPr>
    </w:lvl>
    <w:lvl w:ilvl="7" w:tplc="67D25358" w:tentative="1">
      <w:start w:val="1"/>
      <w:numFmt w:val="lowerLetter"/>
      <w:lvlText w:val="%8."/>
      <w:lvlJc w:val="left"/>
      <w:pPr>
        <w:ind w:left="5760" w:hanging="360"/>
      </w:pPr>
    </w:lvl>
    <w:lvl w:ilvl="8" w:tplc="DC28A8D6" w:tentative="1">
      <w:start w:val="1"/>
      <w:numFmt w:val="lowerRoman"/>
      <w:lvlText w:val="%9."/>
      <w:lvlJc w:val="right"/>
      <w:pPr>
        <w:ind w:left="6480" w:hanging="180"/>
      </w:pPr>
    </w:lvl>
  </w:abstractNum>
  <w:abstractNum w:abstractNumId="23" w15:restartNumberingAfterBreak="0">
    <w:nsid w:val="4FDF5A5D"/>
    <w:multiLevelType w:val="hybridMultilevel"/>
    <w:tmpl w:val="EEFE24FA"/>
    <w:lvl w:ilvl="0" w:tplc="C3C8570C">
      <w:start w:val="1"/>
      <w:numFmt w:val="decimal"/>
      <w:lvlText w:val="%1."/>
      <w:lvlJc w:val="left"/>
      <w:pPr>
        <w:ind w:left="720" w:hanging="360"/>
      </w:pPr>
    </w:lvl>
    <w:lvl w:ilvl="1" w:tplc="C8A88A76" w:tentative="1">
      <w:start w:val="1"/>
      <w:numFmt w:val="lowerLetter"/>
      <w:lvlText w:val="%2."/>
      <w:lvlJc w:val="left"/>
      <w:pPr>
        <w:ind w:left="1440" w:hanging="360"/>
      </w:pPr>
    </w:lvl>
    <w:lvl w:ilvl="2" w:tplc="6E2E4BD6" w:tentative="1">
      <w:start w:val="1"/>
      <w:numFmt w:val="lowerRoman"/>
      <w:lvlText w:val="%3."/>
      <w:lvlJc w:val="right"/>
      <w:pPr>
        <w:ind w:left="2160" w:hanging="180"/>
      </w:pPr>
    </w:lvl>
    <w:lvl w:ilvl="3" w:tplc="AFF4BCF6" w:tentative="1">
      <w:start w:val="1"/>
      <w:numFmt w:val="decimal"/>
      <w:lvlText w:val="%4."/>
      <w:lvlJc w:val="left"/>
      <w:pPr>
        <w:ind w:left="2880" w:hanging="360"/>
      </w:pPr>
    </w:lvl>
    <w:lvl w:ilvl="4" w:tplc="C49C39CA" w:tentative="1">
      <w:start w:val="1"/>
      <w:numFmt w:val="lowerLetter"/>
      <w:lvlText w:val="%5."/>
      <w:lvlJc w:val="left"/>
      <w:pPr>
        <w:ind w:left="3600" w:hanging="360"/>
      </w:pPr>
    </w:lvl>
    <w:lvl w:ilvl="5" w:tplc="440E3EF6" w:tentative="1">
      <w:start w:val="1"/>
      <w:numFmt w:val="lowerRoman"/>
      <w:lvlText w:val="%6."/>
      <w:lvlJc w:val="right"/>
      <w:pPr>
        <w:ind w:left="4320" w:hanging="180"/>
      </w:pPr>
    </w:lvl>
    <w:lvl w:ilvl="6" w:tplc="AE8E174A" w:tentative="1">
      <w:start w:val="1"/>
      <w:numFmt w:val="decimal"/>
      <w:lvlText w:val="%7."/>
      <w:lvlJc w:val="left"/>
      <w:pPr>
        <w:ind w:left="5040" w:hanging="360"/>
      </w:pPr>
    </w:lvl>
    <w:lvl w:ilvl="7" w:tplc="BDEA358E" w:tentative="1">
      <w:start w:val="1"/>
      <w:numFmt w:val="lowerLetter"/>
      <w:lvlText w:val="%8."/>
      <w:lvlJc w:val="left"/>
      <w:pPr>
        <w:ind w:left="5760" w:hanging="360"/>
      </w:pPr>
    </w:lvl>
    <w:lvl w:ilvl="8" w:tplc="D638A22C" w:tentative="1">
      <w:start w:val="1"/>
      <w:numFmt w:val="lowerRoman"/>
      <w:lvlText w:val="%9."/>
      <w:lvlJc w:val="right"/>
      <w:pPr>
        <w:ind w:left="6480" w:hanging="180"/>
      </w:pPr>
    </w:lvl>
  </w:abstractNum>
  <w:abstractNum w:abstractNumId="24" w15:restartNumberingAfterBreak="0">
    <w:nsid w:val="53B5208D"/>
    <w:multiLevelType w:val="multilevel"/>
    <w:tmpl w:val="CF4048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723315F"/>
    <w:multiLevelType w:val="hybridMultilevel"/>
    <w:tmpl w:val="925412FE"/>
    <w:lvl w:ilvl="0" w:tplc="4EE4FA24">
      <w:start w:val="1"/>
      <w:numFmt w:val="lowerLetter"/>
      <w:lvlText w:val="%1."/>
      <w:lvlJc w:val="left"/>
      <w:pPr>
        <w:ind w:left="644" w:hanging="360"/>
      </w:pPr>
      <w:rPr>
        <w:rFonts w:ascii="Palatino Linotype" w:eastAsia="Times New Roman" w:hAnsi="Palatino Linotype" w:cs="Times New Roman"/>
      </w:rPr>
    </w:lvl>
    <w:lvl w:ilvl="1" w:tplc="DD7EEEAE" w:tentative="1">
      <w:start w:val="1"/>
      <w:numFmt w:val="lowerLetter"/>
      <w:lvlText w:val="%2."/>
      <w:lvlJc w:val="left"/>
      <w:pPr>
        <w:ind w:left="1364" w:hanging="360"/>
      </w:pPr>
    </w:lvl>
    <w:lvl w:ilvl="2" w:tplc="3D1CA3DC" w:tentative="1">
      <w:start w:val="1"/>
      <w:numFmt w:val="lowerRoman"/>
      <w:lvlText w:val="%3."/>
      <w:lvlJc w:val="right"/>
      <w:pPr>
        <w:ind w:left="2084" w:hanging="180"/>
      </w:pPr>
    </w:lvl>
    <w:lvl w:ilvl="3" w:tplc="9C2258D4" w:tentative="1">
      <w:start w:val="1"/>
      <w:numFmt w:val="decimal"/>
      <w:lvlText w:val="%4."/>
      <w:lvlJc w:val="left"/>
      <w:pPr>
        <w:ind w:left="2804" w:hanging="360"/>
      </w:pPr>
    </w:lvl>
    <w:lvl w:ilvl="4" w:tplc="3B86F04A" w:tentative="1">
      <w:start w:val="1"/>
      <w:numFmt w:val="lowerLetter"/>
      <w:lvlText w:val="%5."/>
      <w:lvlJc w:val="left"/>
      <w:pPr>
        <w:ind w:left="3524" w:hanging="360"/>
      </w:pPr>
    </w:lvl>
    <w:lvl w:ilvl="5" w:tplc="DBE0D992" w:tentative="1">
      <w:start w:val="1"/>
      <w:numFmt w:val="lowerRoman"/>
      <w:lvlText w:val="%6."/>
      <w:lvlJc w:val="right"/>
      <w:pPr>
        <w:ind w:left="4244" w:hanging="180"/>
      </w:pPr>
    </w:lvl>
    <w:lvl w:ilvl="6" w:tplc="2D5EEDB2" w:tentative="1">
      <w:start w:val="1"/>
      <w:numFmt w:val="decimal"/>
      <w:lvlText w:val="%7."/>
      <w:lvlJc w:val="left"/>
      <w:pPr>
        <w:ind w:left="4964" w:hanging="360"/>
      </w:pPr>
    </w:lvl>
    <w:lvl w:ilvl="7" w:tplc="53E01302" w:tentative="1">
      <w:start w:val="1"/>
      <w:numFmt w:val="lowerLetter"/>
      <w:lvlText w:val="%8."/>
      <w:lvlJc w:val="left"/>
      <w:pPr>
        <w:ind w:left="5684" w:hanging="360"/>
      </w:pPr>
    </w:lvl>
    <w:lvl w:ilvl="8" w:tplc="9B08180C" w:tentative="1">
      <w:start w:val="1"/>
      <w:numFmt w:val="lowerRoman"/>
      <w:lvlText w:val="%9."/>
      <w:lvlJc w:val="right"/>
      <w:pPr>
        <w:ind w:left="6404" w:hanging="180"/>
      </w:pPr>
    </w:lvl>
  </w:abstractNum>
  <w:abstractNum w:abstractNumId="26" w15:restartNumberingAfterBreak="0">
    <w:nsid w:val="59E43B7C"/>
    <w:multiLevelType w:val="multilevel"/>
    <w:tmpl w:val="8E643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52553C"/>
    <w:multiLevelType w:val="hybridMultilevel"/>
    <w:tmpl w:val="3F2E38BE"/>
    <w:lvl w:ilvl="0" w:tplc="5A2E2FBA">
      <w:start w:val="1"/>
      <w:numFmt w:val="upperLetter"/>
      <w:lvlText w:val="%1."/>
      <w:lvlJc w:val="left"/>
      <w:pPr>
        <w:ind w:left="720" w:hanging="360"/>
      </w:pPr>
      <w:rPr>
        <w:rFonts w:hint="default"/>
      </w:rPr>
    </w:lvl>
    <w:lvl w:ilvl="1" w:tplc="752A70DA" w:tentative="1">
      <w:start w:val="1"/>
      <w:numFmt w:val="lowerLetter"/>
      <w:lvlText w:val="%2."/>
      <w:lvlJc w:val="left"/>
      <w:pPr>
        <w:ind w:left="1440" w:hanging="360"/>
      </w:pPr>
    </w:lvl>
    <w:lvl w:ilvl="2" w:tplc="FD3C946A" w:tentative="1">
      <w:start w:val="1"/>
      <w:numFmt w:val="lowerRoman"/>
      <w:lvlText w:val="%3."/>
      <w:lvlJc w:val="right"/>
      <w:pPr>
        <w:ind w:left="2160" w:hanging="180"/>
      </w:pPr>
    </w:lvl>
    <w:lvl w:ilvl="3" w:tplc="1BBEBAD2" w:tentative="1">
      <w:start w:val="1"/>
      <w:numFmt w:val="decimal"/>
      <w:lvlText w:val="%4."/>
      <w:lvlJc w:val="left"/>
      <w:pPr>
        <w:ind w:left="2880" w:hanging="360"/>
      </w:pPr>
    </w:lvl>
    <w:lvl w:ilvl="4" w:tplc="B1DE3542" w:tentative="1">
      <w:start w:val="1"/>
      <w:numFmt w:val="lowerLetter"/>
      <w:lvlText w:val="%5."/>
      <w:lvlJc w:val="left"/>
      <w:pPr>
        <w:ind w:left="3600" w:hanging="360"/>
      </w:pPr>
    </w:lvl>
    <w:lvl w:ilvl="5" w:tplc="99C8278E" w:tentative="1">
      <w:start w:val="1"/>
      <w:numFmt w:val="lowerRoman"/>
      <w:lvlText w:val="%6."/>
      <w:lvlJc w:val="right"/>
      <w:pPr>
        <w:ind w:left="4320" w:hanging="180"/>
      </w:pPr>
    </w:lvl>
    <w:lvl w:ilvl="6" w:tplc="F7A8724E" w:tentative="1">
      <w:start w:val="1"/>
      <w:numFmt w:val="decimal"/>
      <w:lvlText w:val="%7."/>
      <w:lvlJc w:val="left"/>
      <w:pPr>
        <w:ind w:left="5040" w:hanging="360"/>
      </w:pPr>
    </w:lvl>
    <w:lvl w:ilvl="7" w:tplc="7F229CB4" w:tentative="1">
      <w:start w:val="1"/>
      <w:numFmt w:val="lowerLetter"/>
      <w:lvlText w:val="%8."/>
      <w:lvlJc w:val="left"/>
      <w:pPr>
        <w:ind w:left="5760" w:hanging="360"/>
      </w:pPr>
    </w:lvl>
    <w:lvl w:ilvl="8" w:tplc="4446A2A6" w:tentative="1">
      <w:start w:val="1"/>
      <w:numFmt w:val="lowerRoman"/>
      <w:lvlText w:val="%9."/>
      <w:lvlJc w:val="right"/>
      <w:pPr>
        <w:ind w:left="6480" w:hanging="180"/>
      </w:pPr>
    </w:lvl>
  </w:abstractNum>
  <w:abstractNum w:abstractNumId="28" w15:restartNumberingAfterBreak="0">
    <w:nsid w:val="5F050244"/>
    <w:multiLevelType w:val="hybridMultilevel"/>
    <w:tmpl w:val="384C1A70"/>
    <w:lvl w:ilvl="0" w:tplc="F586DB78">
      <w:start w:val="1"/>
      <w:numFmt w:val="decimal"/>
      <w:lvlText w:val="%1."/>
      <w:lvlJc w:val="left"/>
      <w:pPr>
        <w:ind w:left="2160" w:hanging="360"/>
      </w:pPr>
    </w:lvl>
    <w:lvl w:ilvl="1" w:tplc="41F4A304" w:tentative="1">
      <w:start w:val="1"/>
      <w:numFmt w:val="lowerLetter"/>
      <w:lvlText w:val="%2."/>
      <w:lvlJc w:val="left"/>
      <w:pPr>
        <w:ind w:left="2880" w:hanging="360"/>
      </w:pPr>
    </w:lvl>
    <w:lvl w:ilvl="2" w:tplc="5ABA0B6E" w:tentative="1">
      <w:start w:val="1"/>
      <w:numFmt w:val="lowerRoman"/>
      <w:lvlText w:val="%3."/>
      <w:lvlJc w:val="right"/>
      <w:pPr>
        <w:ind w:left="3600" w:hanging="180"/>
      </w:pPr>
    </w:lvl>
    <w:lvl w:ilvl="3" w:tplc="F180599E" w:tentative="1">
      <w:start w:val="1"/>
      <w:numFmt w:val="decimal"/>
      <w:lvlText w:val="%4."/>
      <w:lvlJc w:val="left"/>
      <w:pPr>
        <w:ind w:left="4320" w:hanging="360"/>
      </w:pPr>
    </w:lvl>
    <w:lvl w:ilvl="4" w:tplc="697C4544" w:tentative="1">
      <w:start w:val="1"/>
      <w:numFmt w:val="lowerLetter"/>
      <w:lvlText w:val="%5."/>
      <w:lvlJc w:val="left"/>
      <w:pPr>
        <w:ind w:left="5040" w:hanging="360"/>
      </w:pPr>
    </w:lvl>
    <w:lvl w:ilvl="5" w:tplc="AE128238" w:tentative="1">
      <w:start w:val="1"/>
      <w:numFmt w:val="lowerRoman"/>
      <w:lvlText w:val="%6."/>
      <w:lvlJc w:val="right"/>
      <w:pPr>
        <w:ind w:left="5760" w:hanging="180"/>
      </w:pPr>
    </w:lvl>
    <w:lvl w:ilvl="6" w:tplc="3CB8E9C6" w:tentative="1">
      <w:start w:val="1"/>
      <w:numFmt w:val="decimal"/>
      <w:lvlText w:val="%7."/>
      <w:lvlJc w:val="left"/>
      <w:pPr>
        <w:ind w:left="6480" w:hanging="360"/>
      </w:pPr>
    </w:lvl>
    <w:lvl w:ilvl="7" w:tplc="EE363B5C" w:tentative="1">
      <w:start w:val="1"/>
      <w:numFmt w:val="lowerLetter"/>
      <w:lvlText w:val="%8."/>
      <w:lvlJc w:val="left"/>
      <w:pPr>
        <w:ind w:left="7200" w:hanging="360"/>
      </w:pPr>
    </w:lvl>
    <w:lvl w:ilvl="8" w:tplc="B786055A" w:tentative="1">
      <w:start w:val="1"/>
      <w:numFmt w:val="lowerRoman"/>
      <w:lvlText w:val="%9."/>
      <w:lvlJc w:val="right"/>
      <w:pPr>
        <w:ind w:left="7920" w:hanging="180"/>
      </w:pPr>
    </w:lvl>
  </w:abstractNum>
  <w:abstractNum w:abstractNumId="29" w15:restartNumberingAfterBreak="0">
    <w:nsid w:val="5F2E25BD"/>
    <w:multiLevelType w:val="hybridMultilevel"/>
    <w:tmpl w:val="72080F1C"/>
    <w:lvl w:ilvl="0" w:tplc="5A5874B6">
      <w:start w:val="1"/>
      <w:numFmt w:val="lowerLetter"/>
      <w:lvlText w:val="%1."/>
      <w:lvlJc w:val="left"/>
      <w:pPr>
        <w:ind w:left="644" w:hanging="360"/>
      </w:pPr>
      <w:rPr>
        <w:rFonts w:hint="default"/>
      </w:rPr>
    </w:lvl>
    <w:lvl w:ilvl="1" w:tplc="FDC880E4" w:tentative="1">
      <w:start w:val="1"/>
      <w:numFmt w:val="lowerLetter"/>
      <w:lvlText w:val="%2."/>
      <w:lvlJc w:val="left"/>
      <w:pPr>
        <w:ind w:left="1364" w:hanging="360"/>
      </w:pPr>
    </w:lvl>
    <w:lvl w:ilvl="2" w:tplc="358A4AE2" w:tentative="1">
      <w:start w:val="1"/>
      <w:numFmt w:val="lowerRoman"/>
      <w:lvlText w:val="%3."/>
      <w:lvlJc w:val="right"/>
      <w:pPr>
        <w:ind w:left="2084" w:hanging="180"/>
      </w:pPr>
    </w:lvl>
    <w:lvl w:ilvl="3" w:tplc="5512F278" w:tentative="1">
      <w:start w:val="1"/>
      <w:numFmt w:val="decimal"/>
      <w:lvlText w:val="%4."/>
      <w:lvlJc w:val="left"/>
      <w:pPr>
        <w:ind w:left="2804" w:hanging="360"/>
      </w:pPr>
    </w:lvl>
    <w:lvl w:ilvl="4" w:tplc="9CD2A986" w:tentative="1">
      <w:start w:val="1"/>
      <w:numFmt w:val="lowerLetter"/>
      <w:lvlText w:val="%5."/>
      <w:lvlJc w:val="left"/>
      <w:pPr>
        <w:ind w:left="3524" w:hanging="360"/>
      </w:pPr>
    </w:lvl>
    <w:lvl w:ilvl="5" w:tplc="02D272FE" w:tentative="1">
      <w:start w:val="1"/>
      <w:numFmt w:val="lowerRoman"/>
      <w:lvlText w:val="%6."/>
      <w:lvlJc w:val="right"/>
      <w:pPr>
        <w:ind w:left="4244" w:hanging="180"/>
      </w:pPr>
    </w:lvl>
    <w:lvl w:ilvl="6" w:tplc="1B6689F6" w:tentative="1">
      <w:start w:val="1"/>
      <w:numFmt w:val="decimal"/>
      <w:lvlText w:val="%7."/>
      <w:lvlJc w:val="left"/>
      <w:pPr>
        <w:ind w:left="4964" w:hanging="360"/>
      </w:pPr>
    </w:lvl>
    <w:lvl w:ilvl="7" w:tplc="3A7859E0" w:tentative="1">
      <w:start w:val="1"/>
      <w:numFmt w:val="lowerLetter"/>
      <w:lvlText w:val="%8."/>
      <w:lvlJc w:val="left"/>
      <w:pPr>
        <w:ind w:left="5684" w:hanging="360"/>
      </w:pPr>
    </w:lvl>
    <w:lvl w:ilvl="8" w:tplc="54603A1A" w:tentative="1">
      <w:start w:val="1"/>
      <w:numFmt w:val="lowerRoman"/>
      <w:lvlText w:val="%9."/>
      <w:lvlJc w:val="right"/>
      <w:pPr>
        <w:ind w:left="6404" w:hanging="180"/>
      </w:pPr>
    </w:lvl>
  </w:abstractNum>
  <w:abstractNum w:abstractNumId="30" w15:restartNumberingAfterBreak="0">
    <w:nsid w:val="68107107"/>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8D27D48"/>
    <w:multiLevelType w:val="hybridMultilevel"/>
    <w:tmpl w:val="4F50484C"/>
    <w:lvl w:ilvl="0" w:tplc="0C72D93A">
      <w:start w:val="1"/>
      <w:numFmt w:val="decimal"/>
      <w:lvlText w:val="%1."/>
      <w:lvlJc w:val="left"/>
      <w:pPr>
        <w:ind w:left="786" w:hanging="360"/>
      </w:pPr>
      <w:rPr>
        <w:rFonts w:hint="default"/>
      </w:rPr>
    </w:lvl>
    <w:lvl w:ilvl="1" w:tplc="49360708" w:tentative="1">
      <w:start w:val="1"/>
      <w:numFmt w:val="lowerLetter"/>
      <w:lvlText w:val="%2."/>
      <w:lvlJc w:val="left"/>
      <w:pPr>
        <w:ind w:left="1506" w:hanging="360"/>
      </w:pPr>
    </w:lvl>
    <w:lvl w:ilvl="2" w:tplc="140C503C" w:tentative="1">
      <w:start w:val="1"/>
      <w:numFmt w:val="lowerRoman"/>
      <w:lvlText w:val="%3."/>
      <w:lvlJc w:val="right"/>
      <w:pPr>
        <w:ind w:left="2226" w:hanging="180"/>
      </w:pPr>
    </w:lvl>
    <w:lvl w:ilvl="3" w:tplc="A0CEAC0C" w:tentative="1">
      <w:start w:val="1"/>
      <w:numFmt w:val="decimal"/>
      <w:lvlText w:val="%4."/>
      <w:lvlJc w:val="left"/>
      <w:pPr>
        <w:ind w:left="2946" w:hanging="360"/>
      </w:pPr>
    </w:lvl>
    <w:lvl w:ilvl="4" w:tplc="E00CA6F6" w:tentative="1">
      <w:start w:val="1"/>
      <w:numFmt w:val="lowerLetter"/>
      <w:lvlText w:val="%5."/>
      <w:lvlJc w:val="left"/>
      <w:pPr>
        <w:ind w:left="3666" w:hanging="360"/>
      </w:pPr>
    </w:lvl>
    <w:lvl w:ilvl="5" w:tplc="C4604894" w:tentative="1">
      <w:start w:val="1"/>
      <w:numFmt w:val="lowerRoman"/>
      <w:lvlText w:val="%6."/>
      <w:lvlJc w:val="right"/>
      <w:pPr>
        <w:ind w:left="4386" w:hanging="180"/>
      </w:pPr>
    </w:lvl>
    <w:lvl w:ilvl="6" w:tplc="D72A2824" w:tentative="1">
      <w:start w:val="1"/>
      <w:numFmt w:val="decimal"/>
      <w:lvlText w:val="%7."/>
      <w:lvlJc w:val="left"/>
      <w:pPr>
        <w:ind w:left="5106" w:hanging="360"/>
      </w:pPr>
    </w:lvl>
    <w:lvl w:ilvl="7" w:tplc="3C260D8C" w:tentative="1">
      <w:start w:val="1"/>
      <w:numFmt w:val="lowerLetter"/>
      <w:lvlText w:val="%8."/>
      <w:lvlJc w:val="left"/>
      <w:pPr>
        <w:ind w:left="5826" w:hanging="360"/>
      </w:pPr>
    </w:lvl>
    <w:lvl w:ilvl="8" w:tplc="28824D50" w:tentative="1">
      <w:start w:val="1"/>
      <w:numFmt w:val="lowerRoman"/>
      <w:lvlText w:val="%9."/>
      <w:lvlJc w:val="right"/>
      <w:pPr>
        <w:ind w:left="6546" w:hanging="180"/>
      </w:pPr>
    </w:lvl>
  </w:abstractNum>
  <w:abstractNum w:abstractNumId="32" w15:restartNumberingAfterBreak="0">
    <w:nsid w:val="6B6D05EA"/>
    <w:multiLevelType w:val="hybridMultilevel"/>
    <w:tmpl w:val="A5D455F4"/>
    <w:lvl w:ilvl="0" w:tplc="5E9C01B2">
      <w:start w:val="1"/>
      <w:numFmt w:val="decimal"/>
      <w:lvlText w:val="%1."/>
      <w:lvlJc w:val="left"/>
      <w:pPr>
        <w:ind w:left="502" w:hanging="360"/>
      </w:pPr>
      <w:rPr>
        <w:rFonts w:hint="default"/>
        <w:b w:val="0"/>
        <w:bCs/>
      </w:rPr>
    </w:lvl>
    <w:lvl w:ilvl="1" w:tplc="5BD2DA3C" w:tentative="1">
      <w:start w:val="1"/>
      <w:numFmt w:val="lowerLetter"/>
      <w:lvlText w:val="%2."/>
      <w:lvlJc w:val="left"/>
      <w:pPr>
        <w:ind w:left="1222" w:hanging="360"/>
      </w:pPr>
    </w:lvl>
    <w:lvl w:ilvl="2" w:tplc="BF40886C" w:tentative="1">
      <w:start w:val="1"/>
      <w:numFmt w:val="lowerRoman"/>
      <w:lvlText w:val="%3."/>
      <w:lvlJc w:val="right"/>
      <w:pPr>
        <w:ind w:left="1942" w:hanging="180"/>
      </w:pPr>
    </w:lvl>
    <w:lvl w:ilvl="3" w:tplc="05D041CA" w:tentative="1">
      <w:start w:val="1"/>
      <w:numFmt w:val="decimal"/>
      <w:lvlText w:val="%4."/>
      <w:lvlJc w:val="left"/>
      <w:pPr>
        <w:ind w:left="2662" w:hanging="360"/>
      </w:pPr>
    </w:lvl>
    <w:lvl w:ilvl="4" w:tplc="4C746766" w:tentative="1">
      <w:start w:val="1"/>
      <w:numFmt w:val="lowerLetter"/>
      <w:lvlText w:val="%5."/>
      <w:lvlJc w:val="left"/>
      <w:pPr>
        <w:ind w:left="3382" w:hanging="360"/>
      </w:pPr>
    </w:lvl>
    <w:lvl w:ilvl="5" w:tplc="18A61180" w:tentative="1">
      <w:start w:val="1"/>
      <w:numFmt w:val="lowerRoman"/>
      <w:lvlText w:val="%6."/>
      <w:lvlJc w:val="right"/>
      <w:pPr>
        <w:ind w:left="4102" w:hanging="180"/>
      </w:pPr>
    </w:lvl>
    <w:lvl w:ilvl="6" w:tplc="DAE4DEFA" w:tentative="1">
      <w:start w:val="1"/>
      <w:numFmt w:val="decimal"/>
      <w:lvlText w:val="%7."/>
      <w:lvlJc w:val="left"/>
      <w:pPr>
        <w:ind w:left="4822" w:hanging="360"/>
      </w:pPr>
    </w:lvl>
    <w:lvl w:ilvl="7" w:tplc="B9B85160" w:tentative="1">
      <w:start w:val="1"/>
      <w:numFmt w:val="lowerLetter"/>
      <w:lvlText w:val="%8."/>
      <w:lvlJc w:val="left"/>
      <w:pPr>
        <w:ind w:left="5542" w:hanging="360"/>
      </w:pPr>
    </w:lvl>
    <w:lvl w:ilvl="8" w:tplc="333CEFE2" w:tentative="1">
      <w:start w:val="1"/>
      <w:numFmt w:val="lowerRoman"/>
      <w:lvlText w:val="%9."/>
      <w:lvlJc w:val="right"/>
      <w:pPr>
        <w:ind w:left="6262" w:hanging="180"/>
      </w:pPr>
    </w:lvl>
  </w:abstractNum>
  <w:abstractNum w:abstractNumId="33" w15:restartNumberingAfterBreak="0">
    <w:nsid w:val="6C23508F"/>
    <w:multiLevelType w:val="hybridMultilevel"/>
    <w:tmpl w:val="4AA645EE"/>
    <w:lvl w:ilvl="0" w:tplc="F0E41484">
      <w:start w:val="1"/>
      <w:numFmt w:val="decimal"/>
      <w:lvlText w:val="%1."/>
      <w:lvlJc w:val="left"/>
      <w:pPr>
        <w:ind w:left="1080" w:hanging="360"/>
      </w:pPr>
      <w:rPr>
        <w:rFonts w:hint="default"/>
      </w:rPr>
    </w:lvl>
    <w:lvl w:ilvl="1" w:tplc="87764554">
      <w:start w:val="1"/>
      <w:numFmt w:val="lowerLetter"/>
      <w:lvlText w:val="%2."/>
      <w:lvlJc w:val="left"/>
      <w:pPr>
        <w:ind w:left="1800" w:hanging="360"/>
      </w:pPr>
    </w:lvl>
    <w:lvl w:ilvl="2" w:tplc="00286D18" w:tentative="1">
      <w:start w:val="1"/>
      <w:numFmt w:val="lowerRoman"/>
      <w:lvlText w:val="%3."/>
      <w:lvlJc w:val="right"/>
      <w:pPr>
        <w:ind w:left="2520" w:hanging="180"/>
      </w:pPr>
    </w:lvl>
    <w:lvl w:ilvl="3" w:tplc="B2086394" w:tentative="1">
      <w:start w:val="1"/>
      <w:numFmt w:val="decimal"/>
      <w:lvlText w:val="%4."/>
      <w:lvlJc w:val="left"/>
      <w:pPr>
        <w:ind w:left="3240" w:hanging="360"/>
      </w:pPr>
    </w:lvl>
    <w:lvl w:ilvl="4" w:tplc="8ABE2ECE" w:tentative="1">
      <w:start w:val="1"/>
      <w:numFmt w:val="lowerLetter"/>
      <w:lvlText w:val="%5."/>
      <w:lvlJc w:val="left"/>
      <w:pPr>
        <w:ind w:left="3960" w:hanging="360"/>
      </w:pPr>
    </w:lvl>
    <w:lvl w:ilvl="5" w:tplc="F96EAFC6" w:tentative="1">
      <w:start w:val="1"/>
      <w:numFmt w:val="lowerRoman"/>
      <w:lvlText w:val="%6."/>
      <w:lvlJc w:val="right"/>
      <w:pPr>
        <w:ind w:left="4680" w:hanging="180"/>
      </w:pPr>
    </w:lvl>
    <w:lvl w:ilvl="6" w:tplc="B940631A" w:tentative="1">
      <w:start w:val="1"/>
      <w:numFmt w:val="decimal"/>
      <w:lvlText w:val="%7."/>
      <w:lvlJc w:val="left"/>
      <w:pPr>
        <w:ind w:left="5400" w:hanging="360"/>
      </w:pPr>
    </w:lvl>
    <w:lvl w:ilvl="7" w:tplc="3C60B720" w:tentative="1">
      <w:start w:val="1"/>
      <w:numFmt w:val="lowerLetter"/>
      <w:lvlText w:val="%8."/>
      <w:lvlJc w:val="left"/>
      <w:pPr>
        <w:ind w:left="6120" w:hanging="360"/>
      </w:pPr>
    </w:lvl>
    <w:lvl w:ilvl="8" w:tplc="CC321232" w:tentative="1">
      <w:start w:val="1"/>
      <w:numFmt w:val="lowerRoman"/>
      <w:lvlText w:val="%9."/>
      <w:lvlJc w:val="right"/>
      <w:pPr>
        <w:ind w:left="6840" w:hanging="180"/>
      </w:pPr>
    </w:lvl>
  </w:abstractNum>
  <w:abstractNum w:abstractNumId="34" w15:restartNumberingAfterBreak="0">
    <w:nsid w:val="6CF95BB7"/>
    <w:multiLevelType w:val="multilevel"/>
    <w:tmpl w:val="F154C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E1B49F1"/>
    <w:multiLevelType w:val="multilevel"/>
    <w:tmpl w:val="C672B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F84140"/>
    <w:multiLevelType w:val="hybridMultilevel"/>
    <w:tmpl w:val="3D6CBFB8"/>
    <w:lvl w:ilvl="0" w:tplc="BE9CF66E">
      <w:start w:val="1"/>
      <w:numFmt w:val="decimal"/>
      <w:lvlText w:val="%1."/>
      <w:lvlJc w:val="left"/>
      <w:pPr>
        <w:ind w:left="720" w:hanging="360"/>
      </w:pPr>
      <w:rPr>
        <w:rFonts w:hint="default"/>
      </w:rPr>
    </w:lvl>
    <w:lvl w:ilvl="1" w:tplc="77C400D8" w:tentative="1">
      <w:start w:val="1"/>
      <w:numFmt w:val="lowerLetter"/>
      <w:lvlText w:val="%2."/>
      <w:lvlJc w:val="left"/>
      <w:pPr>
        <w:ind w:left="1440" w:hanging="360"/>
      </w:pPr>
    </w:lvl>
    <w:lvl w:ilvl="2" w:tplc="C7269BB4" w:tentative="1">
      <w:start w:val="1"/>
      <w:numFmt w:val="lowerRoman"/>
      <w:lvlText w:val="%3."/>
      <w:lvlJc w:val="right"/>
      <w:pPr>
        <w:ind w:left="2160" w:hanging="180"/>
      </w:pPr>
    </w:lvl>
    <w:lvl w:ilvl="3" w:tplc="E132CC40" w:tentative="1">
      <w:start w:val="1"/>
      <w:numFmt w:val="decimal"/>
      <w:lvlText w:val="%4."/>
      <w:lvlJc w:val="left"/>
      <w:pPr>
        <w:ind w:left="2880" w:hanging="360"/>
      </w:pPr>
    </w:lvl>
    <w:lvl w:ilvl="4" w:tplc="3D101E26" w:tentative="1">
      <w:start w:val="1"/>
      <w:numFmt w:val="lowerLetter"/>
      <w:lvlText w:val="%5."/>
      <w:lvlJc w:val="left"/>
      <w:pPr>
        <w:ind w:left="3600" w:hanging="360"/>
      </w:pPr>
    </w:lvl>
    <w:lvl w:ilvl="5" w:tplc="1FA8D2A6" w:tentative="1">
      <w:start w:val="1"/>
      <w:numFmt w:val="lowerRoman"/>
      <w:lvlText w:val="%6."/>
      <w:lvlJc w:val="right"/>
      <w:pPr>
        <w:ind w:left="4320" w:hanging="180"/>
      </w:pPr>
    </w:lvl>
    <w:lvl w:ilvl="6" w:tplc="B0AE8302" w:tentative="1">
      <w:start w:val="1"/>
      <w:numFmt w:val="decimal"/>
      <w:lvlText w:val="%7."/>
      <w:lvlJc w:val="left"/>
      <w:pPr>
        <w:ind w:left="5040" w:hanging="360"/>
      </w:pPr>
    </w:lvl>
    <w:lvl w:ilvl="7" w:tplc="81A28720" w:tentative="1">
      <w:start w:val="1"/>
      <w:numFmt w:val="lowerLetter"/>
      <w:lvlText w:val="%8."/>
      <w:lvlJc w:val="left"/>
      <w:pPr>
        <w:ind w:left="5760" w:hanging="360"/>
      </w:pPr>
    </w:lvl>
    <w:lvl w:ilvl="8" w:tplc="5D0AA344" w:tentative="1">
      <w:start w:val="1"/>
      <w:numFmt w:val="lowerRoman"/>
      <w:lvlText w:val="%9."/>
      <w:lvlJc w:val="right"/>
      <w:pPr>
        <w:ind w:left="6480" w:hanging="180"/>
      </w:pPr>
    </w:lvl>
  </w:abstractNum>
  <w:abstractNum w:abstractNumId="37" w15:restartNumberingAfterBreak="0">
    <w:nsid w:val="70E54893"/>
    <w:multiLevelType w:val="hybridMultilevel"/>
    <w:tmpl w:val="E568494A"/>
    <w:lvl w:ilvl="0" w:tplc="80282506">
      <w:start w:val="1"/>
      <w:numFmt w:val="decimal"/>
      <w:lvlText w:val="%1)"/>
      <w:lvlJc w:val="left"/>
      <w:pPr>
        <w:ind w:left="720" w:hanging="360"/>
      </w:pPr>
      <w:rPr>
        <w:rFonts w:hint="default"/>
        <w:b w:val="0"/>
      </w:rPr>
    </w:lvl>
    <w:lvl w:ilvl="1" w:tplc="BA1EBEB6" w:tentative="1">
      <w:start w:val="1"/>
      <w:numFmt w:val="lowerLetter"/>
      <w:lvlText w:val="%2."/>
      <w:lvlJc w:val="left"/>
      <w:pPr>
        <w:ind w:left="1440" w:hanging="360"/>
      </w:pPr>
    </w:lvl>
    <w:lvl w:ilvl="2" w:tplc="03505640" w:tentative="1">
      <w:start w:val="1"/>
      <w:numFmt w:val="lowerRoman"/>
      <w:lvlText w:val="%3."/>
      <w:lvlJc w:val="right"/>
      <w:pPr>
        <w:ind w:left="2160" w:hanging="180"/>
      </w:pPr>
    </w:lvl>
    <w:lvl w:ilvl="3" w:tplc="57A2372E" w:tentative="1">
      <w:start w:val="1"/>
      <w:numFmt w:val="decimal"/>
      <w:lvlText w:val="%4."/>
      <w:lvlJc w:val="left"/>
      <w:pPr>
        <w:ind w:left="2880" w:hanging="360"/>
      </w:pPr>
    </w:lvl>
    <w:lvl w:ilvl="4" w:tplc="693455A4" w:tentative="1">
      <w:start w:val="1"/>
      <w:numFmt w:val="lowerLetter"/>
      <w:lvlText w:val="%5."/>
      <w:lvlJc w:val="left"/>
      <w:pPr>
        <w:ind w:left="3600" w:hanging="360"/>
      </w:pPr>
    </w:lvl>
    <w:lvl w:ilvl="5" w:tplc="EA4E4A24" w:tentative="1">
      <w:start w:val="1"/>
      <w:numFmt w:val="lowerRoman"/>
      <w:lvlText w:val="%6."/>
      <w:lvlJc w:val="right"/>
      <w:pPr>
        <w:ind w:left="4320" w:hanging="180"/>
      </w:pPr>
    </w:lvl>
    <w:lvl w:ilvl="6" w:tplc="B4885C00" w:tentative="1">
      <w:start w:val="1"/>
      <w:numFmt w:val="decimal"/>
      <w:lvlText w:val="%7."/>
      <w:lvlJc w:val="left"/>
      <w:pPr>
        <w:ind w:left="5040" w:hanging="360"/>
      </w:pPr>
    </w:lvl>
    <w:lvl w:ilvl="7" w:tplc="032C2162" w:tentative="1">
      <w:start w:val="1"/>
      <w:numFmt w:val="lowerLetter"/>
      <w:lvlText w:val="%8."/>
      <w:lvlJc w:val="left"/>
      <w:pPr>
        <w:ind w:left="5760" w:hanging="360"/>
      </w:pPr>
    </w:lvl>
    <w:lvl w:ilvl="8" w:tplc="308A7AFA" w:tentative="1">
      <w:start w:val="1"/>
      <w:numFmt w:val="lowerRoman"/>
      <w:lvlText w:val="%9."/>
      <w:lvlJc w:val="right"/>
      <w:pPr>
        <w:ind w:left="6480" w:hanging="180"/>
      </w:pPr>
    </w:lvl>
  </w:abstractNum>
  <w:abstractNum w:abstractNumId="38" w15:restartNumberingAfterBreak="0">
    <w:nsid w:val="791F7AEE"/>
    <w:multiLevelType w:val="hybridMultilevel"/>
    <w:tmpl w:val="B804E9D4"/>
    <w:lvl w:ilvl="0" w:tplc="57C83024">
      <w:start w:val="1"/>
      <w:numFmt w:val="decimal"/>
      <w:lvlText w:val="%1."/>
      <w:lvlJc w:val="left"/>
      <w:pPr>
        <w:ind w:left="1080" w:hanging="720"/>
      </w:pPr>
      <w:rPr>
        <w:rFonts w:hint="default"/>
      </w:rPr>
    </w:lvl>
    <w:lvl w:ilvl="1" w:tplc="5868FA1C" w:tentative="1">
      <w:start w:val="1"/>
      <w:numFmt w:val="lowerLetter"/>
      <w:lvlText w:val="%2."/>
      <w:lvlJc w:val="left"/>
      <w:pPr>
        <w:ind w:left="1440" w:hanging="360"/>
      </w:pPr>
    </w:lvl>
    <w:lvl w:ilvl="2" w:tplc="B180284C" w:tentative="1">
      <w:start w:val="1"/>
      <w:numFmt w:val="lowerRoman"/>
      <w:lvlText w:val="%3."/>
      <w:lvlJc w:val="right"/>
      <w:pPr>
        <w:ind w:left="2160" w:hanging="180"/>
      </w:pPr>
    </w:lvl>
    <w:lvl w:ilvl="3" w:tplc="6700C804" w:tentative="1">
      <w:start w:val="1"/>
      <w:numFmt w:val="decimal"/>
      <w:lvlText w:val="%4."/>
      <w:lvlJc w:val="left"/>
      <w:pPr>
        <w:ind w:left="2880" w:hanging="360"/>
      </w:pPr>
    </w:lvl>
    <w:lvl w:ilvl="4" w:tplc="C50841E8" w:tentative="1">
      <w:start w:val="1"/>
      <w:numFmt w:val="lowerLetter"/>
      <w:lvlText w:val="%5."/>
      <w:lvlJc w:val="left"/>
      <w:pPr>
        <w:ind w:left="3600" w:hanging="360"/>
      </w:pPr>
    </w:lvl>
    <w:lvl w:ilvl="5" w:tplc="F1829E42" w:tentative="1">
      <w:start w:val="1"/>
      <w:numFmt w:val="lowerRoman"/>
      <w:lvlText w:val="%6."/>
      <w:lvlJc w:val="right"/>
      <w:pPr>
        <w:ind w:left="4320" w:hanging="180"/>
      </w:pPr>
    </w:lvl>
    <w:lvl w:ilvl="6" w:tplc="CCA0A408" w:tentative="1">
      <w:start w:val="1"/>
      <w:numFmt w:val="decimal"/>
      <w:lvlText w:val="%7."/>
      <w:lvlJc w:val="left"/>
      <w:pPr>
        <w:ind w:left="5040" w:hanging="360"/>
      </w:pPr>
    </w:lvl>
    <w:lvl w:ilvl="7" w:tplc="76A2BDF2" w:tentative="1">
      <w:start w:val="1"/>
      <w:numFmt w:val="lowerLetter"/>
      <w:lvlText w:val="%8."/>
      <w:lvlJc w:val="left"/>
      <w:pPr>
        <w:ind w:left="5760" w:hanging="360"/>
      </w:pPr>
    </w:lvl>
    <w:lvl w:ilvl="8" w:tplc="76B22218" w:tentative="1">
      <w:start w:val="1"/>
      <w:numFmt w:val="lowerRoman"/>
      <w:lvlText w:val="%9."/>
      <w:lvlJc w:val="right"/>
      <w:pPr>
        <w:ind w:left="6480" w:hanging="180"/>
      </w:pPr>
    </w:lvl>
  </w:abstractNum>
  <w:abstractNum w:abstractNumId="39" w15:restartNumberingAfterBreak="0">
    <w:nsid w:val="7F8D0BE6"/>
    <w:multiLevelType w:val="hybridMultilevel"/>
    <w:tmpl w:val="BCEC2186"/>
    <w:lvl w:ilvl="0" w:tplc="9A2ABB1A">
      <w:start w:val="1"/>
      <w:numFmt w:val="lowerLetter"/>
      <w:lvlText w:val="%1."/>
      <w:lvlJc w:val="left"/>
      <w:pPr>
        <w:ind w:left="720" w:hanging="360"/>
      </w:pPr>
      <w:rPr>
        <w:rFonts w:hint="default"/>
      </w:rPr>
    </w:lvl>
    <w:lvl w:ilvl="1" w:tplc="7E8C2BC4" w:tentative="1">
      <w:start w:val="1"/>
      <w:numFmt w:val="lowerLetter"/>
      <w:lvlText w:val="%2."/>
      <w:lvlJc w:val="left"/>
      <w:pPr>
        <w:ind w:left="1440" w:hanging="360"/>
      </w:pPr>
    </w:lvl>
    <w:lvl w:ilvl="2" w:tplc="7ED41BF4" w:tentative="1">
      <w:start w:val="1"/>
      <w:numFmt w:val="lowerRoman"/>
      <w:lvlText w:val="%3."/>
      <w:lvlJc w:val="right"/>
      <w:pPr>
        <w:ind w:left="2160" w:hanging="180"/>
      </w:pPr>
    </w:lvl>
    <w:lvl w:ilvl="3" w:tplc="A32C5E50" w:tentative="1">
      <w:start w:val="1"/>
      <w:numFmt w:val="decimal"/>
      <w:lvlText w:val="%4."/>
      <w:lvlJc w:val="left"/>
      <w:pPr>
        <w:ind w:left="2880" w:hanging="360"/>
      </w:pPr>
    </w:lvl>
    <w:lvl w:ilvl="4" w:tplc="B8A41E26" w:tentative="1">
      <w:start w:val="1"/>
      <w:numFmt w:val="lowerLetter"/>
      <w:lvlText w:val="%5."/>
      <w:lvlJc w:val="left"/>
      <w:pPr>
        <w:ind w:left="3600" w:hanging="360"/>
      </w:pPr>
    </w:lvl>
    <w:lvl w:ilvl="5" w:tplc="0B365A40" w:tentative="1">
      <w:start w:val="1"/>
      <w:numFmt w:val="lowerRoman"/>
      <w:lvlText w:val="%6."/>
      <w:lvlJc w:val="right"/>
      <w:pPr>
        <w:ind w:left="4320" w:hanging="180"/>
      </w:pPr>
    </w:lvl>
    <w:lvl w:ilvl="6" w:tplc="A96656B2" w:tentative="1">
      <w:start w:val="1"/>
      <w:numFmt w:val="decimal"/>
      <w:lvlText w:val="%7."/>
      <w:lvlJc w:val="left"/>
      <w:pPr>
        <w:ind w:left="5040" w:hanging="360"/>
      </w:pPr>
    </w:lvl>
    <w:lvl w:ilvl="7" w:tplc="4F223B2C" w:tentative="1">
      <w:start w:val="1"/>
      <w:numFmt w:val="lowerLetter"/>
      <w:lvlText w:val="%8."/>
      <w:lvlJc w:val="left"/>
      <w:pPr>
        <w:ind w:left="5760" w:hanging="360"/>
      </w:pPr>
    </w:lvl>
    <w:lvl w:ilvl="8" w:tplc="95DC85AC" w:tentative="1">
      <w:start w:val="1"/>
      <w:numFmt w:val="lowerRoman"/>
      <w:lvlText w:val="%9."/>
      <w:lvlJc w:val="right"/>
      <w:pPr>
        <w:ind w:left="6480" w:hanging="180"/>
      </w:pPr>
    </w:lvl>
  </w:abstractNum>
  <w:num w:numId="1" w16cid:durableId="1672248170">
    <w:abstractNumId w:val="13"/>
  </w:num>
  <w:num w:numId="2" w16cid:durableId="200948372">
    <w:abstractNumId w:val="38"/>
  </w:num>
  <w:num w:numId="3" w16cid:durableId="100419122">
    <w:abstractNumId w:val="14"/>
  </w:num>
  <w:num w:numId="4" w16cid:durableId="252712513">
    <w:abstractNumId w:val="17"/>
  </w:num>
  <w:num w:numId="5" w16cid:durableId="897087817">
    <w:abstractNumId w:val="27"/>
  </w:num>
  <w:num w:numId="6" w16cid:durableId="1501047667">
    <w:abstractNumId w:val="8"/>
  </w:num>
  <w:num w:numId="7" w16cid:durableId="78256649">
    <w:abstractNumId w:val="16"/>
  </w:num>
  <w:num w:numId="8" w16cid:durableId="1928466742">
    <w:abstractNumId w:val="37"/>
  </w:num>
  <w:num w:numId="9" w16cid:durableId="1120026333">
    <w:abstractNumId w:val="15"/>
  </w:num>
  <w:num w:numId="10" w16cid:durableId="1644387013">
    <w:abstractNumId w:val="20"/>
  </w:num>
  <w:num w:numId="11" w16cid:durableId="356081888">
    <w:abstractNumId w:val="21"/>
  </w:num>
  <w:num w:numId="12" w16cid:durableId="1186401943">
    <w:abstractNumId w:val="39"/>
  </w:num>
  <w:num w:numId="13" w16cid:durableId="1059402722">
    <w:abstractNumId w:val="28"/>
  </w:num>
  <w:num w:numId="14" w16cid:durableId="943733686">
    <w:abstractNumId w:val="2"/>
  </w:num>
  <w:num w:numId="15" w16cid:durableId="1155730101">
    <w:abstractNumId w:val="26"/>
  </w:num>
  <w:num w:numId="16" w16cid:durableId="1044528186">
    <w:abstractNumId w:val="33"/>
  </w:num>
  <w:num w:numId="17" w16cid:durableId="969238738">
    <w:abstractNumId w:val="35"/>
  </w:num>
  <w:num w:numId="18" w16cid:durableId="966551051">
    <w:abstractNumId w:val="12"/>
  </w:num>
  <w:num w:numId="19" w16cid:durableId="799343985">
    <w:abstractNumId w:val="10"/>
  </w:num>
  <w:num w:numId="20" w16cid:durableId="1968120352">
    <w:abstractNumId w:val="9"/>
  </w:num>
  <w:num w:numId="21" w16cid:durableId="1873684875">
    <w:abstractNumId w:val="30"/>
  </w:num>
  <w:num w:numId="22" w16cid:durableId="1462767870">
    <w:abstractNumId w:val="34"/>
  </w:num>
  <w:num w:numId="23" w16cid:durableId="1069113991">
    <w:abstractNumId w:val="11"/>
  </w:num>
  <w:num w:numId="24" w16cid:durableId="927271378">
    <w:abstractNumId w:val="18"/>
  </w:num>
  <w:num w:numId="25" w16cid:durableId="1730182960">
    <w:abstractNumId w:val="31"/>
  </w:num>
  <w:num w:numId="26" w16cid:durableId="398596158">
    <w:abstractNumId w:val="6"/>
  </w:num>
  <w:num w:numId="27" w16cid:durableId="1020546824">
    <w:abstractNumId w:val="25"/>
  </w:num>
  <w:num w:numId="28" w16cid:durableId="708142241">
    <w:abstractNumId w:val="0"/>
  </w:num>
  <w:num w:numId="29" w16cid:durableId="1221289900">
    <w:abstractNumId w:val="29"/>
  </w:num>
  <w:num w:numId="30" w16cid:durableId="463355778">
    <w:abstractNumId w:val="5"/>
  </w:num>
  <w:num w:numId="31" w16cid:durableId="1824391913">
    <w:abstractNumId w:val="3"/>
  </w:num>
  <w:num w:numId="32" w16cid:durableId="1853106382">
    <w:abstractNumId w:val="36"/>
  </w:num>
  <w:num w:numId="33" w16cid:durableId="71589258">
    <w:abstractNumId w:val="32"/>
  </w:num>
  <w:num w:numId="34" w16cid:durableId="529075931">
    <w:abstractNumId w:val="24"/>
  </w:num>
  <w:num w:numId="35" w16cid:durableId="448939665">
    <w:abstractNumId w:val="4"/>
  </w:num>
  <w:num w:numId="36" w16cid:durableId="741832913">
    <w:abstractNumId w:val="1"/>
  </w:num>
  <w:num w:numId="37" w16cid:durableId="1670786623">
    <w:abstractNumId w:val="7"/>
  </w:num>
  <w:num w:numId="38" w16cid:durableId="643122017">
    <w:abstractNumId w:val="19"/>
  </w:num>
  <w:num w:numId="39" w16cid:durableId="1901481063">
    <w:abstractNumId w:val="19"/>
  </w:num>
  <w:num w:numId="40" w16cid:durableId="401413060">
    <w:abstractNumId w:val="19"/>
  </w:num>
  <w:num w:numId="41" w16cid:durableId="766846629">
    <w:abstractNumId w:val="23"/>
  </w:num>
  <w:num w:numId="42" w16cid:durableId="6117407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attachedTemplate r:id="rId1"/>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zMLE0NDO1NDa3MDBQ0lEKTi0uzszPAymwrAUAHviW8SwAAAA="/>
  </w:docVars>
  <w:rsids>
    <w:rsidRoot w:val="00D95956"/>
    <w:rsid w:val="00001F28"/>
    <w:rsid w:val="00005994"/>
    <w:rsid w:val="00005F9E"/>
    <w:rsid w:val="000152E7"/>
    <w:rsid w:val="00015DEB"/>
    <w:rsid w:val="00031793"/>
    <w:rsid w:val="00033D11"/>
    <w:rsid w:val="00044D6B"/>
    <w:rsid w:val="00062C1B"/>
    <w:rsid w:val="00065260"/>
    <w:rsid w:val="000713FB"/>
    <w:rsid w:val="00071750"/>
    <w:rsid w:val="000730A8"/>
    <w:rsid w:val="00075F4D"/>
    <w:rsid w:val="00087F22"/>
    <w:rsid w:val="00096DBA"/>
    <w:rsid w:val="000B638B"/>
    <w:rsid w:val="000C3858"/>
    <w:rsid w:val="000C4D10"/>
    <w:rsid w:val="000D46D0"/>
    <w:rsid w:val="000D5860"/>
    <w:rsid w:val="000D73CB"/>
    <w:rsid w:val="000E1497"/>
    <w:rsid w:val="000E48BB"/>
    <w:rsid w:val="000E539F"/>
    <w:rsid w:val="000F6A98"/>
    <w:rsid w:val="0010045C"/>
    <w:rsid w:val="001111C6"/>
    <w:rsid w:val="001177EC"/>
    <w:rsid w:val="00121E44"/>
    <w:rsid w:val="00145913"/>
    <w:rsid w:val="00165C65"/>
    <w:rsid w:val="00173EDB"/>
    <w:rsid w:val="001750DA"/>
    <w:rsid w:val="00187B6B"/>
    <w:rsid w:val="00197788"/>
    <w:rsid w:val="001A2370"/>
    <w:rsid w:val="001C0D91"/>
    <w:rsid w:val="001C0E60"/>
    <w:rsid w:val="001C4AE0"/>
    <w:rsid w:val="001C62FF"/>
    <w:rsid w:val="001E3BC9"/>
    <w:rsid w:val="001E55A2"/>
    <w:rsid w:val="00200763"/>
    <w:rsid w:val="00210FF5"/>
    <w:rsid w:val="00223C23"/>
    <w:rsid w:val="00232843"/>
    <w:rsid w:val="002443C2"/>
    <w:rsid w:val="002448D8"/>
    <w:rsid w:val="002501CB"/>
    <w:rsid w:val="00267C8B"/>
    <w:rsid w:val="002851B0"/>
    <w:rsid w:val="00292E51"/>
    <w:rsid w:val="00294760"/>
    <w:rsid w:val="00296D7F"/>
    <w:rsid w:val="002A3D29"/>
    <w:rsid w:val="002A4355"/>
    <w:rsid w:val="002B1A7D"/>
    <w:rsid w:val="002B48BB"/>
    <w:rsid w:val="002C7759"/>
    <w:rsid w:val="002D10A3"/>
    <w:rsid w:val="002E7872"/>
    <w:rsid w:val="002F3EB7"/>
    <w:rsid w:val="002F5C17"/>
    <w:rsid w:val="0030203E"/>
    <w:rsid w:val="003021C6"/>
    <w:rsid w:val="00302E97"/>
    <w:rsid w:val="003106D7"/>
    <w:rsid w:val="00313455"/>
    <w:rsid w:val="00320F81"/>
    <w:rsid w:val="00342409"/>
    <w:rsid w:val="003465DC"/>
    <w:rsid w:val="00347812"/>
    <w:rsid w:val="003533A3"/>
    <w:rsid w:val="003645C1"/>
    <w:rsid w:val="003744B8"/>
    <w:rsid w:val="00385638"/>
    <w:rsid w:val="003914C7"/>
    <w:rsid w:val="003A65F3"/>
    <w:rsid w:val="003B2EEA"/>
    <w:rsid w:val="003C3142"/>
    <w:rsid w:val="003F070B"/>
    <w:rsid w:val="003F2DFB"/>
    <w:rsid w:val="003F5955"/>
    <w:rsid w:val="003F712E"/>
    <w:rsid w:val="0040021C"/>
    <w:rsid w:val="00402FB1"/>
    <w:rsid w:val="00426C4F"/>
    <w:rsid w:val="00435074"/>
    <w:rsid w:val="00455127"/>
    <w:rsid w:val="004626A9"/>
    <w:rsid w:val="00473CA6"/>
    <w:rsid w:val="0047450D"/>
    <w:rsid w:val="00480A5B"/>
    <w:rsid w:val="00481E00"/>
    <w:rsid w:val="00487EA7"/>
    <w:rsid w:val="004B42CB"/>
    <w:rsid w:val="004B5AAE"/>
    <w:rsid w:val="004C6ECF"/>
    <w:rsid w:val="004D4595"/>
    <w:rsid w:val="004E127A"/>
    <w:rsid w:val="0050073E"/>
    <w:rsid w:val="005037E2"/>
    <w:rsid w:val="00512DCB"/>
    <w:rsid w:val="00522444"/>
    <w:rsid w:val="00526DC9"/>
    <w:rsid w:val="00543538"/>
    <w:rsid w:val="0055207A"/>
    <w:rsid w:val="00552AF5"/>
    <w:rsid w:val="00561A2C"/>
    <w:rsid w:val="00573C0B"/>
    <w:rsid w:val="00576372"/>
    <w:rsid w:val="005A0EF9"/>
    <w:rsid w:val="005D1732"/>
    <w:rsid w:val="005D5062"/>
    <w:rsid w:val="005D6CA6"/>
    <w:rsid w:val="005F2A4A"/>
    <w:rsid w:val="005F40F2"/>
    <w:rsid w:val="005F546B"/>
    <w:rsid w:val="005F7AA3"/>
    <w:rsid w:val="006034AA"/>
    <w:rsid w:val="00611842"/>
    <w:rsid w:val="00624B84"/>
    <w:rsid w:val="006250B3"/>
    <w:rsid w:val="006261EA"/>
    <w:rsid w:val="00627989"/>
    <w:rsid w:val="00644BEC"/>
    <w:rsid w:val="00666431"/>
    <w:rsid w:val="00666B9E"/>
    <w:rsid w:val="00674C34"/>
    <w:rsid w:val="006811F9"/>
    <w:rsid w:val="0068388D"/>
    <w:rsid w:val="006864DA"/>
    <w:rsid w:val="006878DF"/>
    <w:rsid w:val="00687EC0"/>
    <w:rsid w:val="006A6247"/>
    <w:rsid w:val="006A7AB2"/>
    <w:rsid w:val="006B35D0"/>
    <w:rsid w:val="006B7949"/>
    <w:rsid w:val="006C66D8"/>
    <w:rsid w:val="006D38E2"/>
    <w:rsid w:val="006E324E"/>
    <w:rsid w:val="006F5366"/>
    <w:rsid w:val="00716A29"/>
    <w:rsid w:val="00734255"/>
    <w:rsid w:val="00752288"/>
    <w:rsid w:val="007600B9"/>
    <w:rsid w:val="00764920"/>
    <w:rsid w:val="00765E80"/>
    <w:rsid w:val="00771B79"/>
    <w:rsid w:val="00773013"/>
    <w:rsid w:val="00773150"/>
    <w:rsid w:val="00792014"/>
    <w:rsid w:val="00792FF7"/>
    <w:rsid w:val="007A1AE7"/>
    <w:rsid w:val="007A283F"/>
    <w:rsid w:val="007C3105"/>
    <w:rsid w:val="007D09B9"/>
    <w:rsid w:val="007D3929"/>
    <w:rsid w:val="007D3E15"/>
    <w:rsid w:val="0080323E"/>
    <w:rsid w:val="0086679E"/>
    <w:rsid w:val="00873B0C"/>
    <w:rsid w:val="00875A02"/>
    <w:rsid w:val="0087610A"/>
    <w:rsid w:val="008930C9"/>
    <w:rsid w:val="008B2177"/>
    <w:rsid w:val="008B41FC"/>
    <w:rsid w:val="008C1F60"/>
    <w:rsid w:val="00901901"/>
    <w:rsid w:val="009058AC"/>
    <w:rsid w:val="009335B4"/>
    <w:rsid w:val="00944E76"/>
    <w:rsid w:val="0095045D"/>
    <w:rsid w:val="00951BC8"/>
    <w:rsid w:val="00953FC5"/>
    <w:rsid w:val="00962077"/>
    <w:rsid w:val="00966C8A"/>
    <w:rsid w:val="00986681"/>
    <w:rsid w:val="009C228F"/>
    <w:rsid w:val="009C4404"/>
    <w:rsid w:val="009E2B14"/>
    <w:rsid w:val="009E3D14"/>
    <w:rsid w:val="009E7BE5"/>
    <w:rsid w:val="009F2981"/>
    <w:rsid w:val="00A0024B"/>
    <w:rsid w:val="00A06B58"/>
    <w:rsid w:val="00A114E6"/>
    <w:rsid w:val="00A14E0B"/>
    <w:rsid w:val="00A27839"/>
    <w:rsid w:val="00A36355"/>
    <w:rsid w:val="00A64335"/>
    <w:rsid w:val="00A81BF6"/>
    <w:rsid w:val="00A8739F"/>
    <w:rsid w:val="00AA0663"/>
    <w:rsid w:val="00AA1EAB"/>
    <w:rsid w:val="00AB054A"/>
    <w:rsid w:val="00AB3815"/>
    <w:rsid w:val="00AB61EF"/>
    <w:rsid w:val="00AC7DD5"/>
    <w:rsid w:val="00AD0B9B"/>
    <w:rsid w:val="00AD142C"/>
    <w:rsid w:val="00AF0839"/>
    <w:rsid w:val="00AF1F5F"/>
    <w:rsid w:val="00AF77E6"/>
    <w:rsid w:val="00B16300"/>
    <w:rsid w:val="00B2078A"/>
    <w:rsid w:val="00B211D0"/>
    <w:rsid w:val="00B535AB"/>
    <w:rsid w:val="00B63727"/>
    <w:rsid w:val="00B6627B"/>
    <w:rsid w:val="00B81925"/>
    <w:rsid w:val="00B85E15"/>
    <w:rsid w:val="00B9274E"/>
    <w:rsid w:val="00B93A62"/>
    <w:rsid w:val="00B96E8C"/>
    <w:rsid w:val="00BA0B65"/>
    <w:rsid w:val="00BA1EF2"/>
    <w:rsid w:val="00BA527B"/>
    <w:rsid w:val="00BB4F1C"/>
    <w:rsid w:val="00BB78B7"/>
    <w:rsid w:val="00BC38BE"/>
    <w:rsid w:val="00BC4C51"/>
    <w:rsid w:val="00BD11D7"/>
    <w:rsid w:val="00BD1942"/>
    <w:rsid w:val="00BD5A27"/>
    <w:rsid w:val="00BD6380"/>
    <w:rsid w:val="00BF6A73"/>
    <w:rsid w:val="00BF760A"/>
    <w:rsid w:val="00C00A20"/>
    <w:rsid w:val="00C11BE3"/>
    <w:rsid w:val="00C20B16"/>
    <w:rsid w:val="00C36E73"/>
    <w:rsid w:val="00C4240F"/>
    <w:rsid w:val="00C622A1"/>
    <w:rsid w:val="00C64F81"/>
    <w:rsid w:val="00C77739"/>
    <w:rsid w:val="00C86466"/>
    <w:rsid w:val="00CA0A14"/>
    <w:rsid w:val="00CA62FE"/>
    <w:rsid w:val="00CC090A"/>
    <w:rsid w:val="00CD0555"/>
    <w:rsid w:val="00CD18A5"/>
    <w:rsid w:val="00CD6477"/>
    <w:rsid w:val="00CD6911"/>
    <w:rsid w:val="00CD71E0"/>
    <w:rsid w:val="00CE3978"/>
    <w:rsid w:val="00CF67EB"/>
    <w:rsid w:val="00D01956"/>
    <w:rsid w:val="00D02605"/>
    <w:rsid w:val="00D100D8"/>
    <w:rsid w:val="00D222BC"/>
    <w:rsid w:val="00D23E49"/>
    <w:rsid w:val="00D740F9"/>
    <w:rsid w:val="00D93240"/>
    <w:rsid w:val="00D95956"/>
    <w:rsid w:val="00D9731A"/>
    <w:rsid w:val="00DA7807"/>
    <w:rsid w:val="00DB5E80"/>
    <w:rsid w:val="00DC104C"/>
    <w:rsid w:val="00DD3901"/>
    <w:rsid w:val="00DD5C39"/>
    <w:rsid w:val="00DE4DBA"/>
    <w:rsid w:val="00DF6DDC"/>
    <w:rsid w:val="00E02CEB"/>
    <w:rsid w:val="00E02DA2"/>
    <w:rsid w:val="00E05545"/>
    <w:rsid w:val="00E077A3"/>
    <w:rsid w:val="00E12864"/>
    <w:rsid w:val="00E15479"/>
    <w:rsid w:val="00E16F03"/>
    <w:rsid w:val="00E21901"/>
    <w:rsid w:val="00E32ABE"/>
    <w:rsid w:val="00E350B7"/>
    <w:rsid w:val="00E36910"/>
    <w:rsid w:val="00E376C5"/>
    <w:rsid w:val="00E45578"/>
    <w:rsid w:val="00E57401"/>
    <w:rsid w:val="00E75F0C"/>
    <w:rsid w:val="00E82DAA"/>
    <w:rsid w:val="00E9455B"/>
    <w:rsid w:val="00EA29FD"/>
    <w:rsid w:val="00EA5BED"/>
    <w:rsid w:val="00EB7C82"/>
    <w:rsid w:val="00ED0E95"/>
    <w:rsid w:val="00EE0A43"/>
    <w:rsid w:val="00EE1D49"/>
    <w:rsid w:val="00F017E2"/>
    <w:rsid w:val="00F07A91"/>
    <w:rsid w:val="00F31ABD"/>
    <w:rsid w:val="00F45313"/>
    <w:rsid w:val="00F5111F"/>
    <w:rsid w:val="00F600DB"/>
    <w:rsid w:val="00F73647"/>
    <w:rsid w:val="00F74E6C"/>
    <w:rsid w:val="00F7717D"/>
    <w:rsid w:val="00F92F57"/>
    <w:rsid w:val="00FA0864"/>
    <w:rsid w:val="00FB6930"/>
    <w:rsid w:val="00FC5B0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DF91"/>
  <w15:chartTrackingRefBased/>
  <w15:docId w15:val="{52F84313-4367-43F4-A85C-2FD43B5E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paragraph" w:styleId="Heading3">
    <w:name w:val="heading 3"/>
    <w:basedOn w:val="Normal"/>
    <w:next w:val="Normal"/>
    <w:link w:val="Heading3Char"/>
    <w:uiPriority w:val="9"/>
    <w:semiHidden/>
    <w:unhideWhenUsed/>
    <w:qFormat/>
    <w:rsid w:val="00A3635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qFormat/>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qFormat/>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qFormat/>
    <w:rsid w:val="00302E9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unhideWhenUsed/>
    <w:rsid w:val="00302E97"/>
    <w:rPr>
      <w:sz w:val="20"/>
    </w:rPr>
  </w:style>
  <w:style w:type="character" w:customStyle="1" w:styleId="CommentTextChar">
    <w:name w:val="Comment Text Char"/>
    <w:basedOn w:val="DefaultParagraphFont"/>
    <w:link w:val="CommentText"/>
    <w:uiPriority w:val="99"/>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styleId="UnresolvedMention">
    <w:name w:val="Unresolved Mention"/>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styleId="PlainTable2">
    <w:name w:val="Plain Table 2"/>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styleId="TableGridLight">
    <w:name w:val="Grid Table Light"/>
    <w:basedOn w:val="TableNormal"/>
    <w:uiPriority w:val="40"/>
    <w:rsid w:val="00BD11D7"/>
    <w:pPr>
      <w:spacing w:after="0" w:line="240" w:lineRule="auto"/>
    </w:pPr>
    <w:rPr>
      <w:rFonts w:ascii="Calibri" w:eastAsia="SimSun" w:hAnsi="Calibri" w:cs="Arial"/>
      <w:sz w:val="20"/>
      <w:szCs w:val="20"/>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666B9E"/>
    <w:pPr>
      <w:widowControl/>
      <w:numPr>
        <w:numId w:val="19"/>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paragraph" w:customStyle="1" w:styleId="AmlCopyright">
    <w:name w:val="Aml Copyright"/>
    <w:basedOn w:val="Normal"/>
    <w:link w:val="AmlCopyrightChar"/>
    <w:qFormat/>
    <w:rsid w:val="00D95956"/>
    <w:pPr>
      <w:widowControl/>
      <w:spacing w:line="240" w:lineRule="auto"/>
      <w:jc w:val="both"/>
    </w:pPr>
    <w:rPr>
      <w:rFonts w:eastAsia="Times New Roman"/>
      <w:i/>
      <w:sz w:val="22"/>
      <w:szCs w:val="22"/>
      <w:lang w:val="en-US"/>
    </w:rPr>
  </w:style>
  <w:style w:type="character" w:customStyle="1" w:styleId="AmlCopyrightChar">
    <w:name w:val="Aml Copyright Char"/>
    <w:basedOn w:val="DefaultParagraphFont"/>
    <w:link w:val="AmlCopyright"/>
    <w:rsid w:val="00D95956"/>
    <w:rPr>
      <w:rFonts w:ascii="Times New Roman" w:eastAsia="Times New Roman" w:hAnsi="Times New Roman" w:cs="Times New Roman"/>
      <w:i/>
      <w:lang w:val="en-US"/>
    </w:rPr>
  </w:style>
  <w:style w:type="character" w:customStyle="1" w:styleId="Heading3Char">
    <w:name w:val="Heading 3 Char"/>
    <w:basedOn w:val="DefaultParagraphFont"/>
    <w:link w:val="Heading3"/>
    <w:uiPriority w:val="9"/>
    <w:qFormat/>
    <w:rsid w:val="00A36355"/>
    <w:rPr>
      <w:rFonts w:asciiTheme="majorHAnsi" w:eastAsiaTheme="majorEastAsia" w:hAnsiTheme="majorHAnsi" w:cstheme="majorBidi"/>
      <w:color w:val="1F3763" w:themeColor="accent1" w:themeShade="7F"/>
      <w:sz w:val="24"/>
      <w:szCs w:val="24"/>
      <w:lang w:val="en-GB"/>
    </w:rPr>
  </w:style>
  <w:style w:type="table" w:customStyle="1" w:styleId="TableGrid1">
    <w:name w:val="Table Grid1"/>
    <w:basedOn w:val="TableNormal"/>
    <w:next w:val="TableGrid"/>
    <w:uiPriority w:val="39"/>
    <w:qFormat/>
    <w:rsid w:val="00A36355"/>
    <w:pPr>
      <w:spacing w:after="0" w:line="240" w:lineRule="auto"/>
    </w:pPr>
    <w:rPr>
      <w:rFonts w:ascii="Calibri" w:eastAsia="Times New Roman" w:hAnsi="Calibri" w:cs="Arial"/>
      <w:sz w:val="20"/>
      <w:szCs w:val="20"/>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36textafterlist">
    <w:name w:val="Alishlah_3.6_text_after_list"/>
    <w:basedOn w:val="Alishlah31text"/>
    <w:qFormat/>
    <w:rsid w:val="00627989"/>
    <w:pPr>
      <w:spacing w:before="120"/>
    </w:pPr>
  </w:style>
  <w:style w:type="paragraph" w:customStyle="1" w:styleId="Alishlah38bullet">
    <w:name w:val="Alishlah_3.8_bullet"/>
    <w:basedOn w:val="Alishlah31text"/>
    <w:qFormat/>
    <w:rsid w:val="00627989"/>
    <w:pPr>
      <w:numPr>
        <w:numId w:val="38"/>
      </w:numPr>
    </w:pPr>
  </w:style>
  <w:style w:type="paragraph" w:customStyle="1" w:styleId="Alishlah23heading3">
    <w:name w:val="Alishlah_2.3_heading3"/>
    <w:basedOn w:val="Alishlah31text"/>
    <w:qFormat/>
    <w:rsid w:val="00627989"/>
    <w:pPr>
      <w:spacing w:before="240" w:after="120"/>
      <w:ind w:firstLine="0"/>
      <w:jc w:val="left"/>
      <w:outlineLvl w:val="2"/>
    </w:pPr>
  </w:style>
  <w:style w:type="paragraph" w:customStyle="1" w:styleId="Alishlah22heading2">
    <w:name w:val="Alishlah_2.2_heading2"/>
    <w:basedOn w:val="Normal"/>
    <w:qFormat/>
    <w:rsid w:val="00627989"/>
    <w:pPr>
      <w:widowControl/>
      <w:kinsoku w:val="0"/>
      <w:overflowPunct w:val="0"/>
      <w:autoSpaceDE w:val="0"/>
      <w:autoSpaceDN w:val="0"/>
      <w:adjustRightInd w:val="0"/>
      <w:snapToGrid w:val="0"/>
      <w:spacing w:before="240" w:after="120" w:line="260" w:lineRule="atLeast"/>
      <w:outlineLvl w:val="1"/>
    </w:pPr>
    <w:rPr>
      <w:rFonts w:ascii="Palatino Linotype" w:eastAsia="Georgia" w:hAnsi="Palatino Linotype"/>
      <w:b/>
      <w:bCs/>
      <w:i/>
      <w:noProof/>
      <w:snapToGrid w:val="0"/>
      <w:color w:val="000000"/>
      <w:sz w:val="20"/>
      <w:szCs w:val="22"/>
      <w:lang w:val="en-US" w:eastAsia="de-DE" w:bidi="en-US"/>
    </w:rPr>
  </w:style>
  <w:style w:type="paragraph" w:customStyle="1" w:styleId="Alishlah24HEading4">
    <w:name w:val="Alishlah_2.4 HEading4"/>
    <w:basedOn w:val="Heading3"/>
    <w:link w:val="Alishlah24HEading4Char"/>
    <w:qFormat/>
    <w:rsid w:val="00627989"/>
    <w:pPr>
      <w:widowControl/>
      <w:spacing w:before="0" w:line="259" w:lineRule="auto"/>
    </w:pPr>
    <w:rPr>
      <w:rFonts w:ascii="Palatino Linotype" w:eastAsia="Times New Roman" w:hAnsi="Palatino Linotype" w:cs="Times New Roman"/>
      <w:i/>
      <w:color w:val="auto"/>
      <w:sz w:val="20"/>
      <w:szCs w:val="20"/>
      <w:lang w:val="en-ID"/>
    </w:rPr>
  </w:style>
  <w:style w:type="character" w:customStyle="1" w:styleId="Alishlah24HEading4Char">
    <w:name w:val="Alishlah_2.4 HEading4 Char"/>
    <w:link w:val="Alishlah24HEading4"/>
    <w:rsid w:val="00627989"/>
    <w:rPr>
      <w:rFonts w:ascii="Palatino Linotype" w:eastAsia="Times New Roman" w:hAnsi="Palatino Linotype" w:cs="Times New Roman"/>
      <w:i/>
      <w:sz w:val="20"/>
      <w:szCs w:val="20"/>
    </w:rPr>
  </w:style>
  <w:style w:type="paragraph" w:customStyle="1" w:styleId="Alishlah37itemize">
    <w:name w:val="Alishlah_3.7_itemize"/>
    <w:basedOn w:val="Alishlah31text"/>
    <w:qFormat/>
    <w:rsid w:val="00627989"/>
    <w:pPr>
      <w:numPr>
        <w:numId w:val="1"/>
      </w:numPr>
      <w:ind w:left="425" w:hanging="425"/>
    </w:pPr>
  </w:style>
  <w:style w:type="table" w:customStyle="1" w:styleId="TableGrid3">
    <w:name w:val="Table Grid3"/>
    <w:basedOn w:val="TableNormal"/>
    <w:next w:val="TableGrid"/>
    <w:uiPriority w:val="39"/>
    <w:qFormat/>
    <w:rsid w:val="004626A9"/>
    <w:pPr>
      <w:spacing w:after="0" w:line="240" w:lineRule="auto"/>
    </w:pPr>
    <w:rPr>
      <w:rFonts w:ascii="Calibri" w:eastAsia="Times New Roman" w:hAnsi="Calibri" w:cs="Arial"/>
      <w:sz w:val="20"/>
      <w:szCs w:val="20"/>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1D49"/>
    <w:pPr>
      <w:widowControl/>
      <w:spacing w:before="100" w:beforeAutospacing="1" w:after="100" w:afterAutospacing="1" w:line="240" w:lineRule="auto"/>
    </w:pPr>
    <w:rPr>
      <w:rFonts w:eastAsia="Times New Roman"/>
      <w:sz w:val="24"/>
      <w:szCs w:val="24"/>
      <w:lang w:val="en-ID" w:eastAsia="en-ID"/>
    </w:rPr>
  </w:style>
  <w:style w:type="character" w:styleId="FollowedHyperlink">
    <w:name w:val="FollowedHyperlink"/>
    <w:basedOn w:val="DefaultParagraphFont"/>
    <w:uiPriority w:val="99"/>
    <w:semiHidden/>
    <w:unhideWhenUsed/>
    <w:rsid w:val="005F7A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oj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05C7C-A65D-49B4-9CB3-96B7AA82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ojsg</Template>
  <TotalTime>722</TotalTime>
  <Pages>9</Pages>
  <Words>9796</Words>
  <Characters>55838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10</cp:revision>
  <cp:lastPrinted>2023-01-26T07:50:00Z</cp:lastPrinted>
  <dcterms:created xsi:type="dcterms:W3CDTF">2024-11-04T14:32:00Z</dcterms:created>
  <dcterms:modified xsi:type="dcterms:W3CDTF">2024-11-21T02:45:00Z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http://www.zotero.org/styles/apa-6th-edition</vt:lpwstr>
  </property>
  <property fmtid="{D5CDD505-2E9C-101B-9397-08002B2CF9AE}" pid="6" name="Mendeley Recent Style Id 1_1">
    <vt:lpwstr>http://www.zotero.org/styles/apa</vt:lpwstr>
  </property>
  <property fmtid="{D5CDD505-2E9C-101B-9397-08002B2CF9AE}" pid="7" name="Mendeley Recent Style Id 2_1">
    <vt:lpwstr>http://www.zotero.org/styles/american-sociological-association</vt:lpwstr>
  </property>
  <property fmtid="{D5CDD505-2E9C-101B-9397-08002B2CF9AE}" pid="8" name="Mendeley Recent Style Id 3_1">
    <vt:lpwstr>http://www.zotero.org/styles/chicago-author-date</vt:lpwstr>
  </property>
  <property fmtid="{D5CDD505-2E9C-101B-9397-08002B2CF9AE}" pid="9" name="Mendeley Recent Style Id 4_1">
    <vt:lpwstr>http://www.zotero.org/styles/chicago-fullnote-bibliography</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http://www.zotero.org/styles/harvard1</vt:lpwstr>
  </property>
  <property fmtid="{D5CDD505-2E9C-101B-9397-08002B2CF9AE}" pid="12" name="Mendeley Recent Style Id 7_1">
    <vt:lpwstr>http://www.zotero.org/styles/ieee</vt:lpwstr>
  </property>
  <property fmtid="{D5CDD505-2E9C-101B-9397-08002B2CF9AE}" pid="13" name="Mendeley Recent Style Id 8_1">
    <vt:lpwstr>http://www.zotero.org/styles/modern-humanities-research-association</vt:lpwstr>
  </property>
  <property fmtid="{D5CDD505-2E9C-101B-9397-08002B2CF9AE}" pid="14" name="Mendeley Recent Style Id 9_1">
    <vt:lpwstr>http://www.zotero.org/styles/national-library-of-medicine</vt:lpwstr>
  </property>
  <property fmtid="{D5CDD505-2E9C-101B-9397-08002B2CF9AE}" pid="15" name="Mendeley Recent Style Name 0_1">
    <vt:lpwstr>American Psychological Association 6th edition</vt:lpwstr>
  </property>
  <property fmtid="{D5CDD505-2E9C-101B-9397-08002B2CF9AE}" pid="16" name="Mendeley Recent Style Name 1_1">
    <vt:lpwstr>American Psychological Association 7th edition</vt:lpwstr>
  </property>
  <property fmtid="{D5CDD505-2E9C-101B-9397-08002B2CF9AE}" pid="17" name="Mendeley Recent Style Name 2_1">
    <vt:lpwstr>American Sociological Association 6th edition</vt:lpwstr>
  </property>
  <property fmtid="{D5CDD505-2E9C-101B-9397-08002B2CF9AE}" pid="18" name="Mendeley Recent Style Name 3_1">
    <vt:lpwstr>Chicago Manual of Style 17th edition (author-date)</vt:lpwstr>
  </property>
  <property fmtid="{D5CDD505-2E9C-101B-9397-08002B2CF9AE}" pid="19" name="Mendeley Recent Style Name 4_1">
    <vt:lpwstr>Chicago Manual of Style 17th edition (full note)</vt:lpwstr>
  </property>
  <property fmtid="{D5CDD505-2E9C-101B-9397-08002B2CF9AE}" pid="20" name="Mendeley Recent Style Name 5_1">
    <vt:lpwstr>Cite Them Right 10th edition - Harvard</vt:lpwstr>
  </property>
  <property fmtid="{D5CDD505-2E9C-101B-9397-08002B2CF9AE}" pid="21" name="Mendeley Recent Style Name 6_1">
    <vt:lpwstr>Harvard reference format 1 (deprecated)</vt:lpwstr>
  </property>
  <property fmtid="{D5CDD505-2E9C-101B-9397-08002B2CF9AE}" pid="22" name="Mendeley Recent Style Name 7_1">
    <vt:lpwstr>IEEE</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Name 9_1">
    <vt:lpwstr>National Library of Medicine</vt:lpwstr>
  </property>
  <property fmtid="{D5CDD505-2E9C-101B-9397-08002B2CF9AE}" pid="25" name="Mendeley Unique User Id_1">
    <vt:lpwstr>c35b7b15-53a4-30ef-8557-3954d6bd2d8a</vt:lpwstr>
  </property>
</Properties>
</file>