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2EDDA" w14:textId="0AE85D9D" w:rsidR="00E96410" w:rsidRPr="006C251E" w:rsidRDefault="00F117EA" w:rsidP="00C3174A">
      <w:pPr>
        <w:pStyle w:val="Alishlah16affiliation"/>
        <w:ind w:left="142" w:hanging="29"/>
        <w:jc w:val="center"/>
        <w:rPr>
          <w:b/>
          <w:snapToGrid w:val="0"/>
          <w:sz w:val="30"/>
          <w:szCs w:val="30"/>
          <w:lang w:val="en-GB" w:bidi="en-US"/>
        </w:rPr>
      </w:pPr>
      <w:r w:rsidRPr="006C251E">
        <w:rPr>
          <w:b/>
          <w:snapToGrid w:val="0"/>
          <w:sz w:val="30"/>
          <w:szCs w:val="30"/>
          <w:lang w:val="en-GB" w:bidi="en-US"/>
        </w:rPr>
        <w:t>Administrative Strategies in Managing Change</w:t>
      </w:r>
      <w:r w:rsidR="00EB786F">
        <w:rPr>
          <w:b/>
          <w:snapToGrid w:val="0"/>
          <w:sz w:val="30"/>
          <w:szCs w:val="30"/>
          <w:lang w:val="en-GB" w:bidi="en-US"/>
        </w:rPr>
        <w:t xml:space="preserve"> </w:t>
      </w:r>
      <w:r w:rsidRPr="006C251E">
        <w:rPr>
          <w:b/>
          <w:snapToGrid w:val="0"/>
          <w:sz w:val="30"/>
          <w:szCs w:val="30"/>
          <w:lang w:val="en-GB" w:bidi="en-US"/>
        </w:rPr>
        <w:t>in Educational Institutions</w:t>
      </w:r>
    </w:p>
    <w:p w14:paraId="29AB8DC7" w14:textId="77777777" w:rsidR="00F117EA" w:rsidRPr="006C251E" w:rsidRDefault="00F117EA" w:rsidP="00C3174A">
      <w:pPr>
        <w:pStyle w:val="Alishlah16affiliation"/>
        <w:ind w:left="142" w:hanging="29"/>
        <w:jc w:val="center"/>
        <w:rPr>
          <w:b/>
          <w:snapToGrid w:val="0"/>
          <w:sz w:val="30"/>
          <w:szCs w:val="30"/>
          <w:lang w:val="en-GB" w:bidi="en-US"/>
        </w:rPr>
      </w:pPr>
    </w:p>
    <w:p w14:paraId="356ACD02" w14:textId="77777777" w:rsidR="001578D5" w:rsidRPr="006C251E" w:rsidRDefault="001578D5" w:rsidP="00B80460">
      <w:pPr>
        <w:pStyle w:val="Alishlah16affiliation"/>
        <w:ind w:left="142" w:hanging="29"/>
        <w:rPr>
          <w:b/>
          <w:bCs/>
          <w:sz w:val="20"/>
        </w:rPr>
      </w:pPr>
      <w:r w:rsidRPr="006C251E">
        <w:rPr>
          <w:b/>
          <w:bCs/>
          <w:sz w:val="20"/>
        </w:rPr>
        <w:t>Helis Suryani</w:t>
      </w:r>
    </w:p>
    <w:p w14:paraId="5D4784AA" w14:textId="0B472F0E" w:rsidR="00805D6B" w:rsidRPr="006C251E" w:rsidRDefault="006C251E" w:rsidP="00B80460">
      <w:pPr>
        <w:pStyle w:val="Alishlah16affiliation"/>
        <w:ind w:left="142" w:hanging="29"/>
        <w:rPr>
          <w:sz w:val="20"/>
        </w:rPr>
      </w:pPr>
      <w:r w:rsidRPr="006C251E">
        <w:rPr>
          <w:sz w:val="20"/>
        </w:rPr>
        <w:t xml:space="preserve">Universitas Islam </w:t>
      </w:r>
      <w:proofErr w:type="gramStart"/>
      <w:r w:rsidRPr="006C251E">
        <w:rPr>
          <w:sz w:val="20"/>
        </w:rPr>
        <w:t>An</w:t>
      </w:r>
      <w:proofErr w:type="gramEnd"/>
      <w:r w:rsidRPr="006C251E">
        <w:rPr>
          <w:sz w:val="20"/>
        </w:rPr>
        <w:t xml:space="preserve"> Nur</w:t>
      </w:r>
      <w:r w:rsidR="00805D6B" w:rsidRPr="006C251E">
        <w:rPr>
          <w:sz w:val="20"/>
        </w:rPr>
        <w:t xml:space="preserve"> Lampung, Indonesia</w:t>
      </w:r>
    </w:p>
    <w:p w14:paraId="1BB95DC7" w14:textId="3946A90E" w:rsidR="005F7AA3" w:rsidRPr="006C251E" w:rsidRDefault="008D5B52" w:rsidP="002F3AEF">
      <w:pPr>
        <w:pStyle w:val="Alishlah16affiliation"/>
        <w:ind w:left="142" w:hanging="29"/>
      </w:pPr>
      <w:r w:rsidRPr="006C251E">
        <w:rPr>
          <w:color w:val="auto"/>
          <w:sz w:val="20"/>
          <w:szCs w:val="20"/>
        </w:rPr>
        <w:t>Correspondence</w:t>
      </w:r>
      <w:r w:rsidR="00EB786F">
        <w:rPr>
          <w:color w:val="auto"/>
          <w:sz w:val="20"/>
          <w:szCs w:val="20"/>
        </w:rPr>
        <w:t xml:space="preserve"> e</w:t>
      </w:r>
      <w:r w:rsidR="00EB786F" w:rsidRPr="006C251E">
        <w:rPr>
          <w:color w:val="auto"/>
          <w:sz w:val="20"/>
          <w:szCs w:val="20"/>
        </w:rPr>
        <w:t>mail</w:t>
      </w:r>
      <w:r w:rsidR="00FB1F64" w:rsidRPr="006C251E">
        <w:rPr>
          <w:sz w:val="20"/>
        </w:rPr>
        <w:t>: helissuryani8@gmail.com</w:t>
      </w:r>
    </w:p>
    <w:p w14:paraId="314F63FA" w14:textId="77777777" w:rsidR="004F4AC6" w:rsidRPr="006C251E" w:rsidRDefault="004F4AC6" w:rsidP="002F3AEF">
      <w:pPr>
        <w:pStyle w:val="Alishlah16affiliation"/>
        <w:ind w:left="142" w:hanging="29"/>
        <w:rPr>
          <w:color w:val="auto"/>
          <w:sz w:val="20"/>
          <w:szCs w:val="20"/>
        </w:rPr>
      </w:pPr>
    </w:p>
    <w:tbl>
      <w:tblPr>
        <w:tblStyle w:val="TableGrid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36355" w:rsidRPr="006C251E" w14:paraId="0FFF56D5" w14:textId="77777777" w:rsidTr="00681514">
        <w:tc>
          <w:tcPr>
            <w:tcW w:w="9072" w:type="dxa"/>
          </w:tcPr>
          <w:p w14:paraId="2012E59C" w14:textId="77777777" w:rsidR="00944E76" w:rsidRPr="006C251E" w:rsidRDefault="00944E76" w:rsidP="00EB786F">
            <w:pPr>
              <w:widowControl/>
              <w:adjustRightInd w:val="0"/>
              <w:snapToGrid w:val="0"/>
              <w:spacing w:line="240" w:lineRule="auto"/>
              <w:rPr>
                <w:rFonts w:ascii="Palatino Linotype" w:eastAsia="Times New Roman" w:hAnsi="Palatino Linotype"/>
                <w:color w:val="000000"/>
                <w:sz w:val="20"/>
                <w:lang w:val="en-US" w:eastAsia="de-DE" w:bidi="en-US"/>
              </w:rPr>
            </w:pPr>
          </w:p>
        </w:tc>
      </w:tr>
    </w:tbl>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280"/>
        <w:gridCol w:w="7053"/>
      </w:tblGrid>
      <w:tr w:rsidR="00944E76" w:rsidRPr="006C251E" w14:paraId="489497CE" w14:textId="77777777" w:rsidTr="00561A2C">
        <w:trPr>
          <w:trHeight w:val="368"/>
          <w:jc w:val="center"/>
        </w:trPr>
        <w:tc>
          <w:tcPr>
            <w:tcW w:w="1832" w:type="dxa"/>
            <w:tcBorders>
              <w:top w:val="nil"/>
              <w:left w:val="nil"/>
              <w:bottom w:val="single" w:sz="4" w:space="0" w:color="auto"/>
              <w:right w:val="nil"/>
            </w:tcBorders>
          </w:tcPr>
          <w:p w14:paraId="51B2F5F4" w14:textId="77777777" w:rsidR="00944E76" w:rsidRPr="006C251E" w:rsidRDefault="00944E76" w:rsidP="00681514">
            <w:pPr>
              <w:pStyle w:val="Header"/>
              <w:rPr>
                <w:rFonts w:ascii="Palatino Linotype" w:hAnsi="Palatino Linotype"/>
                <w:b/>
                <w:bCs/>
                <w:sz w:val="20"/>
              </w:rPr>
            </w:pPr>
            <w:r w:rsidRPr="006C251E">
              <w:rPr>
                <w:rFonts w:ascii="Palatino Linotype" w:hAnsi="Palatino Linotype"/>
                <w:b/>
                <w:bCs/>
                <w:sz w:val="20"/>
              </w:rPr>
              <w:t>Article history</w:t>
            </w:r>
          </w:p>
        </w:tc>
        <w:tc>
          <w:tcPr>
            <w:tcW w:w="280" w:type="dxa"/>
            <w:tcBorders>
              <w:top w:val="nil"/>
              <w:left w:val="nil"/>
              <w:bottom w:val="nil"/>
              <w:right w:val="nil"/>
            </w:tcBorders>
          </w:tcPr>
          <w:p w14:paraId="599283E8" w14:textId="77777777" w:rsidR="00944E76" w:rsidRPr="006C251E" w:rsidRDefault="00944E76" w:rsidP="00681514">
            <w:pPr>
              <w:pStyle w:val="Header"/>
              <w:jc w:val="both"/>
              <w:rPr>
                <w:rFonts w:ascii="Palatino Linotype" w:hAnsi="Palatino Linotype"/>
                <w:b/>
                <w:bCs/>
                <w:sz w:val="20"/>
              </w:rPr>
            </w:pPr>
          </w:p>
        </w:tc>
        <w:tc>
          <w:tcPr>
            <w:tcW w:w="7053" w:type="dxa"/>
            <w:tcBorders>
              <w:top w:val="nil"/>
              <w:left w:val="nil"/>
              <w:bottom w:val="single" w:sz="4" w:space="0" w:color="auto"/>
              <w:right w:val="nil"/>
            </w:tcBorders>
          </w:tcPr>
          <w:p w14:paraId="64DB3531" w14:textId="6DA4BE18" w:rsidR="00944E76" w:rsidRPr="006C251E" w:rsidRDefault="00524F3D" w:rsidP="00315E46">
            <w:pPr>
              <w:widowControl/>
              <w:tabs>
                <w:tab w:val="left" w:pos="2442"/>
                <w:tab w:val="left" w:pos="4726"/>
              </w:tabs>
              <w:spacing w:line="240" w:lineRule="auto"/>
              <w:jc w:val="both"/>
              <w:rPr>
                <w:rFonts w:ascii="Palatino Linotype" w:hAnsi="Palatino Linotype"/>
                <w:sz w:val="20"/>
              </w:rPr>
            </w:pPr>
            <w:r w:rsidRPr="006C251E">
              <w:rPr>
                <w:rFonts w:ascii="Palatino Linotype" w:hAnsi="Palatino Linotype"/>
                <w:sz w:val="20"/>
              </w:rPr>
              <w:t>Submitted: 2026/0</w:t>
            </w:r>
            <w:r w:rsidR="00EB786F">
              <w:rPr>
                <w:rFonts w:ascii="Palatino Linotype" w:hAnsi="Palatino Linotype"/>
                <w:sz w:val="20"/>
              </w:rPr>
              <w:t>4</w:t>
            </w:r>
            <w:r w:rsidRPr="006C251E">
              <w:rPr>
                <w:rFonts w:ascii="Palatino Linotype" w:hAnsi="Palatino Linotype"/>
                <w:sz w:val="20"/>
              </w:rPr>
              <w:t>/1</w:t>
            </w:r>
            <w:r w:rsidR="00EB786F">
              <w:rPr>
                <w:rFonts w:ascii="Palatino Linotype" w:hAnsi="Palatino Linotype"/>
                <w:sz w:val="20"/>
              </w:rPr>
              <w:t>6</w:t>
            </w:r>
            <w:r w:rsidRPr="006C251E">
              <w:rPr>
                <w:rFonts w:ascii="Palatino Linotype" w:hAnsi="Palatino Linotype"/>
                <w:sz w:val="20"/>
              </w:rPr>
              <w:t>;</w:t>
            </w:r>
            <w:r w:rsidRPr="006C251E">
              <w:rPr>
                <w:rFonts w:ascii="Palatino Linotype" w:hAnsi="Palatino Linotype"/>
                <w:sz w:val="20"/>
              </w:rPr>
              <w:tab/>
              <w:t>Revised: 2026/0</w:t>
            </w:r>
            <w:r w:rsidR="00EB786F">
              <w:rPr>
                <w:rFonts w:ascii="Palatino Linotype" w:hAnsi="Palatino Linotype"/>
                <w:sz w:val="20"/>
              </w:rPr>
              <w:t>5</w:t>
            </w:r>
            <w:r w:rsidRPr="006C251E">
              <w:rPr>
                <w:rFonts w:ascii="Palatino Linotype" w:hAnsi="Palatino Linotype"/>
                <w:sz w:val="20"/>
              </w:rPr>
              <w:t>/</w:t>
            </w:r>
            <w:r w:rsidR="00EB786F">
              <w:rPr>
                <w:rFonts w:ascii="Palatino Linotype" w:hAnsi="Palatino Linotype"/>
                <w:sz w:val="20"/>
              </w:rPr>
              <w:t>04</w:t>
            </w:r>
            <w:r w:rsidR="00A044C9" w:rsidRPr="006C251E">
              <w:rPr>
                <w:rFonts w:ascii="Palatino Linotype" w:hAnsi="Palatino Linotype"/>
                <w:sz w:val="20"/>
              </w:rPr>
              <w:t>;</w:t>
            </w:r>
            <w:r w:rsidRPr="006C251E">
              <w:rPr>
                <w:rFonts w:ascii="Palatino Linotype" w:hAnsi="Palatino Linotype"/>
                <w:sz w:val="20"/>
              </w:rPr>
              <w:tab/>
              <w:t>Accepted: 2026/</w:t>
            </w:r>
            <w:r w:rsidR="006F70FE">
              <w:rPr>
                <w:rFonts w:ascii="Palatino Linotype" w:hAnsi="Palatino Linotype"/>
                <w:sz w:val="20"/>
              </w:rPr>
              <w:t>06</w:t>
            </w:r>
            <w:r w:rsidR="00A044C9" w:rsidRPr="006C251E">
              <w:rPr>
                <w:rFonts w:ascii="Palatino Linotype" w:hAnsi="Palatino Linotype"/>
                <w:sz w:val="20"/>
              </w:rPr>
              <w:t>/</w:t>
            </w:r>
            <w:r w:rsidR="006F70FE">
              <w:rPr>
                <w:rFonts w:ascii="Palatino Linotype" w:hAnsi="Palatino Linotype"/>
                <w:sz w:val="20"/>
              </w:rPr>
              <w:t>30</w:t>
            </w:r>
          </w:p>
        </w:tc>
      </w:tr>
      <w:tr w:rsidR="00A36355" w:rsidRPr="006C251E" w14:paraId="2F2C7AF7" w14:textId="77777777" w:rsidTr="00561A2C">
        <w:trPr>
          <w:trHeight w:val="2686"/>
          <w:jc w:val="center"/>
        </w:trPr>
        <w:tc>
          <w:tcPr>
            <w:tcW w:w="1832" w:type="dxa"/>
            <w:tcBorders>
              <w:top w:val="single" w:sz="4" w:space="0" w:color="auto"/>
              <w:left w:val="nil"/>
              <w:bottom w:val="single" w:sz="4" w:space="0" w:color="auto"/>
              <w:right w:val="nil"/>
            </w:tcBorders>
          </w:tcPr>
          <w:p w14:paraId="07908F1C" w14:textId="77777777" w:rsidR="00A36355" w:rsidRPr="006C251E" w:rsidRDefault="00A36355" w:rsidP="00A36355">
            <w:pPr>
              <w:widowControl/>
              <w:adjustRightInd w:val="0"/>
              <w:snapToGrid w:val="0"/>
              <w:spacing w:line="240" w:lineRule="auto"/>
              <w:ind w:left="37"/>
              <w:jc w:val="both"/>
              <w:rPr>
                <w:rFonts w:ascii="Palatino Linotype" w:eastAsia="Times New Roman" w:hAnsi="Palatino Linotype"/>
                <w:snapToGrid w:val="0"/>
                <w:color w:val="000000"/>
                <w:sz w:val="20"/>
                <w:lang w:val="en-US" w:eastAsia="de-DE" w:bidi="en-US"/>
              </w:rPr>
            </w:pPr>
            <w:r w:rsidRPr="006C251E">
              <w:rPr>
                <w:rFonts w:ascii="Palatino Linotype" w:eastAsia="Times New Roman" w:hAnsi="Palatino Linotype"/>
                <w:b/>
                <w:bCs/>
                <w:snapToGrid w:val="0"/>
                <w:color w:val="000000"/>
                <w:sz w:val="20"/>
                <w:lang w:eastAsia="de-DE" w:bidi="en-US"/>
              </w:rPr>
              <w:t>Abstract</w:t>
            </w:r>
          </w:p>
          <w:p w14:paraId="4FCECD68" w14:textId="77777777" w:rsidR="00A36355" w:rsidRPr="006C251E" w:rsidRDefault="00A36355" w:rsidP="00A36355">
            <w:pPr>
              <w:widowControl/>
              <w:spacing w:after="160" w:line="259" w:lineRule="auto"/>
              <w:rPr>
                <w:rFonts w:ascii="Palatino Linotype" w:hAnsi="Palatino Linotype" w:cs="Arial"/>
                <w:sz w:val="20"/>
                <w:lang w:val="en-US" w:eastAsia="de-DE" w:bidi="en-US"/>
              </w:rPr>
            </w:pPr>
          </w:p>
          <w:p w14:paraId="4BAAFD60" w14:textId="77777777" w:rsidR="00A36355" w:rsidRPr="006C251E" w:rsidRDefault="00A36355" w:rsidP="00A36355">
            <w:pPr>
              <w:widowControl/>
              <w:spacing w:after="160" w:line="259" w:lineRule="auto"/>
              <w:rPr>
                <w:rFonts w:ascii="Palatino Linotype" w:hAnsi="Palatino Linotype" w:cs="Arial"/>
                <w:sz w:val="20"/>
                <w:lang w:val="en-US" w:eastAsia="de-DE" w:bidi="en-US"/>
              </w:rPr>
            </w:pPr>
          </w:p>
          <w:p w14:paraId="79C7299B" w14:textId="77777777" w:rsidR="00A36355" w:rsidRPr="006C251E" w:rsidRDefault="00A36355" w:rsidP="00A36355">
            <w:pPr>
              <w:widowControl/>
              <w:spacing w:after="160" w:line="259" w:lineRule="auto"/>
              <w:rPr>
                <w:rFonts w:ascii="Palatino Linotype" w:hAnsi="Palatino Linotype" w:cs="Arial"/>
                <w:sz w:val="20"/>
                <w:lang w:val="en-US" w:eastAsia="de-DE" w:bidi="en-US"/>
              </w:rPr>
            </w:pPr>
          </w:p>
          <w:p w14:paraId="6894286D" w14:textId="77777777" w:rsidR="00A36355" w:rsidRPr="006C251E" w:rsidRDefault="00A36355" w:rsidP="00A36355">
            <w:pPr>
              <w:widowControl/>
              <w:spacing w:after="160" w:line="259" w:lineRule="auto"/>
              <w:rPr>
                <w:rFonts w:ascii="Palatino Linotype" w:hAnsi="Palatino Linotype" w:cs="Arial"/>
                <w:sz w:val="20"/>
                <w:lang w:val="en-US" w:eastAsia="de-DE" w:bidi="en-US"/>
              </w:rPr>
            </w:pPr>
          </w:p>
          <w:p w14:paraId="16DFC706" w14:textId="77777777" w:rsidR="00A36355" w:rsidRPr="006C251E" w:rsidRDefault="00A36355" w:rsidP="00A36355">
            <w:pPr>
              <w:widowControl/>
              <w:spacing w:after="160" w:line="259" w:lineRule="auto"/>
              <w:rPr>
                <w:rFonts w:ascii="Palatino Linotype" w:hAnsi="Palatino Linotype" w:cs="Arial"/>
                <w:sz w:val="20"/>
                <w:lang w:val="en-US" w:eastAsia="de-DE" w:bidi="en-US"/>
              </w:rPr>
            </w:pPr>
          </w:p>
        </w:tc>
        <w:tc>
          <w:tcPr>
            <w:tcW w:w="280" w:type="dxa"/>
            <w:tcBorders>
              <w:top w:val="nil"/>
              <w:left w:val="nil"/>
              <w:bottom w:val="nil"/>
              <w:right w:val="nil"/>
            </w:tcBorders>
          </w:tcPr>
          <w:p w14:paraId="21E2FA76" w14:textId="77777777" w:rsidR="00A36355" w:rsidRPr="006C251E" w:rsidRDefault="00A36355" w:rsidP="00A36355">
            <w:pPr>
              <w:widowControl/>
              <w:spacing w:before="120" w:line="240" w:lineRule="auto"/>
              <w:jc w:val="both"/>
              <w:rPr>
                <w:rFonts w:ascii="Palatino Linotype" w:eastAsia="Times New Roman" w:hAnsi="Palatino Linotype" w:cs="Arial"/>
                <w:sz w:val="20"/>
                <w:lang w:val="en-US"/>
              </w:rPr>
            </w:pPr>
          </w:p>
        </w:tc>
        <w:tc>
          <w:tcPr>
            <w:tcW w:w="7053" w:type="dxa"/>
            <w:tcBorders>
              <w:top w:val="single" w:sz="4" w:space="0" w:color="auto"/>
              <w:left w:val="nil"/>
              <w:right w:val="nil"/>
            </w:tcBorders>
          </w:tcPr>
          <w:p w14:paraId="1BAF4D12" w14:textId="77777777" w:rsidR="00A36355" w:rsidRPr="006C251E" w:rsidRDefault="00790DAC" w:rsidP="00FB1F64">
            <w:pPr>
              <w:widowControl/>
              <w:spacing w:line="240" w:lineRule="auto"/>
              <w:ind w:right="-12"/>
              <w:jc w:val="both"/>
              <w:rPr>
                <w:rFonts w:ascii="Palatino Linotype" w:eastAsia="Times New Roman" w:hAnsi="Palatino Linotype"/>
                <w:color w:val="000000"/>
                <w:sz w:val="20"/>
                <w:lang w:eastAsia="de-DE" w:bidi="en-US"/>
              </w:rPr>
            </w:pPr>
            <w:r w:rsidRPr="006C251E">
              <w:rPr>
                <w:rFonts w:ascii="Palatino Linotype" w:eastAsia="Times New Roman" w:hAnsi="Palatino Linotype"/>
                <w:color w:val="000000"/>
                <w:sz w:val="20"/>
                <w:lang w:eastAsia="de-DE" w:bidi="en-US"/>
              </w:rPr>
              <w:t>Change in educational institutions is a challenge that requires effective administrative strategies to ensure successful implementation. This article discusses various administrative strategies that can be used to manage change in an educational context, focusing on planning, communication, and stakeholder participation. This research uses a qualitative approach, with in-depth interviews and case studies in several schools that have successfully implemented change. The results show that strategies involving all parties, including teachers, students, and parents, can increase engagement and support for change. Furthermore, transparent and continuous communication is key to reducing resistance and building trust. Effective change management in educational institutions relies not only on policies but also on the active involvement of the entire school community. Effective administrative strategies for managing change in educational institutions include thorough planning, open communication, stakeholder involvement, relevant training, and systematic monitoring and evaluation. By implementing these strategies, educational institutions can better face the challenges of change, create a better learning environment, and achieve higher educational goals.</w:t>
            </w:r>
          </w:p>
        </w:tc>
      </w:tr>
      <w:tr w:rsidR="00A36355" w:rsidRPr="006C251E" w14:paraId="68A24999" w14:textId="77777777" w:rsidTr="005D1732">
        <w:trPr>
          <w:trHeight w:val="368"/>
          <w:jc w:val="center"/>
        </w:trPr>
        <w:tc>
          <w:tcPr>
            <w:tcW w:w="1832" w:type="dxa"/>
            <w:tcBorders>
              <w:top w:val="single" w:sz="4" w:space="0" w:color="auto"/>
              <w:left w:val="nil"/>
              <w:bottom w:val="single" w:sz="4" w:space="0" w:color="auto"/>
              <w:right w:val="nil"/>
            </w:tcBorders>
          </w:tcPr>
          <w:p w14:paraId="58761DE3" w14:textId="77777777" w:rsidR="00A36355" w:rsidRPr="006C251E" w:rsidRDefault="00A36355" w:rsidP="00A36355">
            <w:pPr>
              <w:widowControl/>
              <w:spacing w:line="240" w:lineRule="auto"/>
              <w:jc w:val="both"/>
              <w:rPr>
                <w:rFonts w:ascii="Palatino Linotype" w:eastAsia="Times New Roman" w:hAnsi="Palatino Linotype" w:cs="Arial"/>
                <w:b/>
                <w:bCs/>
                <w:sz w:val="20"/>
                <w:lang w:val="en-US"/>
              </w:rPr>
            </w:pPr>
            <w:r w:rsidRPr="006C251E">
              <w:rPr>
                <w:rFonts w:ascii="Palatino Linotype" w:hAnsi="Palatino Linotype" w:cs="Arial"/>
                <w:b/>
                <w:bCs/>
                <w:sz w:val="20"/>
              </w:rPr>
              <w:t>Keywords</w:t>
            </w:r>
          </w:p>
        </w:tc>
        <w:tc>
          <w:tcPr>
            <w:tcW w:w="280" w:type="dxa"/>
            <w:tcBorders>
              <w:top w:val="nil"/>
              <w:left w:val="nil"/>
              <w:bottom w:val="nil"/>
              <w:right w:val="nil"/>
            </w:tcBorders>
          </w:tcPr>
          <w:p w14:paraId="4665643B" w14:textId="77777777" w:rsidR="00A36355" w:rsidRPr="006C251E" w:rsidRDefault="00A36355" w:rsidP="00A36355">
            <w:pPr>
              <w:widowControl/>
              <w:spacing w:line="240" w:lineRule="auto"/>
              <w:jc w:val="both"/>
              <w:rPr>
                <w:rFonts w:ascii="Palatino Linotype" w:eastAsia="Times New Roman" w:hAnsi="Palatino Linotype" w:cs="Arial"/>
                <w:sz w:val="20"/>
                <w:lang w:val="en-US"/>
              </w:rPr>
            </w:pPr>
          </w:p>
        </w:tc>
        <w:tc>
          <w:tcPr>
            <w:tcW w:w="7053" w:type="dxa"/>
            <w:tcBorders>
              <w:top w:val="nil"/>
              <w:left w:val="nil"/>
              <w:bottom w:val="single" w:sz="4" w:space="0" w:color="auto"/>
              <w:right w:val="nil"/>
            </w:tcBorders>
          </w:tcPr>
          <w:p w14:paraId="3AC31250" w14:textId="77777777" w:rsidR="00A36355" w:rsidRPr="006C251E" w:rsidRDefault="009C3732" w:rsidP="005D1732">
            <w:pPr>
              <w:widowControl/>
              <w:spacing w:after="60" w:line="240" w:lineRule="auto"/>
              <w:ind w:right="-12"/>
              <w:jc w:val="both"/>
              <w:rPr>
                <w:rFonts w:ascii="Palatino Linotype" w:hAnsi="Palatino Linotype"/>
                <w:sz w:val="20"/>
              </w:rPr>
            </w:pPr>
            <w:r w:rsidRPr="006C251E">
              <w:rPr>
                <w:rFonts w:ascii="Palatino Linotype" w:eastAsia="Times New Roman" w:hAnsi="Palatino Linotype"/>
                <w:color w:val="000000"/>
                <w:sz w:val="20"/>
                <w:lang w:eastAsia="de-DE" w:bidi="en-US"/>
              </w:rPr>
              <w:t>Administration, Educational Institutions, Change Management.</w:t>
            </w:r>
          </w:p>
        </w:tc>
      </w:tr>
      <w:tr w:rsidR="006A7AB2" w:rsidRPr="006C251E" w14:paraId="0CDCB889" w14:textId="77777777" w:rsidTr="005D1732">
        <w:trPr>
          <w:trHeight w:val="368"/>
          <w:jc w:val="center"/>
        </w:trPr>
        <w:tc>
          <w:tcPr>
            <w:tcW w:w="1832" w:type="dxa"/>
            <w:tcBorders>
              <w:top w:val="single" w:sz="4" w:space="0" w:color="auto"/>
              <w:left w:val="nil"/>
              <w:bottom w:val="single" w:sz="4" w:space="0" w:color="auto"/>
              <w:right w:val="nil"/>
            </w:tcBorders>
          </w:tcPr>
          <w:p w14:paraId="34EE57D0" w14:textId="77777777" w:rsidR="006A7AB2" w:rsidRPr="006C251E" w:rsidRDefault="00552AF5" w:rsidP="00773150">
            <w:pPr>
              <w:widowControl/>
              <w:spacing w:line="240" w:lineRule="auto"/>
              <w:rPr>
                <w:rFonts w:ascii="Palatino Linotype" w:hAnsi="Palatino Linotype" w:cs="Arial"/>
                <w:b/>
                <w:bCs/>
                <w:sz w:val="22"/>
                <w:szCs w:val="22"/>
                <w:lang w:val="en-ID"/>
              </w:rPr>
            </w:pPr>
            <w:r w:rsidRPr="006C251E">
              <w:rPr>
                <w:rFonts w:ascii="Palatino Linotype" w:hAnsi="Palatino Linotype"/>
                <w:noProof/>
                <w:sz w:val="22"/>
                <w:szCs w:val="22"/>
              </w:rPr>
              <w:drawing>
                <wp:inline distT="0" distB="0" distL="0" distR="0" wp14:anchorId="312F3171" wp14:editId="7A887F55">
                  <wp:extent cx="828136" cy="314119"/>
                  <wp:effectExtent l="0" t="0" r="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reative Commons Licens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842880" cy="319712"/>
                          </a:xfrm>
                          <a:prstGeom prst="rect">
                            <a:avLst/>
                          </a:prstGeom>
                          <a:noFill/>
                          <a:ln>
                            <a:noFill/>
                          </a:ln>
                        </pic:spPr>
                      </pic:pic>
                    </a:graphicData>
                  </a:graphic>
                </wp:inline>
              </w:drawing>
            </w:r>
          </w:p>
        </w:tc>
        <w:tc>
          <w:tcPr>
            <w:tcW w:w="280" w:type="dxa"/>
            <w:tcBorders>
              <w:top w:val="nil"/>
              <w:left w:val="nil"/>
              <w:bottom w:val="nil"/>
              <w:right w:val="nil"/>
            </w:tcBorders>
          </w:tcPr>
          <w:p w14:paraId="36AB8940" w14:textId="77777777" w:rsidR="006A7AB2" w:rsidRPr="006C251E" w:rsidRDefault="006A7AB2" w:rsidP="00A36355">
            <w:pPr>
              <w:widowControl/>
              <w:spacing w:line="240" w:lineRule="auto"/>
              <w:jc w:val="both"/>
              <w:rPr>
                <w:rFonts w:ascii="Palatino Linotype" w:eastAsia="Times New Roman" w:hAnsi="Palatino Linotype" w:cs="Arial"/>
                <w:sz w:val="22"/>
                <w:szCs w:val="22"/>
                <w:lang w:val="en-US"/>
              </w:rPr>
            </w:pPr>
          </w:p>
        </w:tc>
        <w:tc>
          <w:tcPr>
            <w:tcW w:w="7053" w:type="dxa"/>
            <w:tcBorders>
              <w:top w:val="single" w:sz="4" w:space="0" w:color="auto"/>
              <w:left w:val="nil"/>
              <w:bottom w:val="single" w:sz="4" w:space="0" w:color="auto"/>
              <w:right w:val="nil"/>
            </w:tcBorders>
          </w:tcPr>
          <w:p w14:paraId="6DBD290D" w14:textId="2EECAC9D" w:rsidR="006A7AB2" w:rsidRPr="006C251E" w:rsidRDefault="00552AF5" w:rsidP="003C3142">
            <w:pPr>
              <w:spacing w:line="240" w:lineRule="auto"/>
              <w:ind w:right="-108"/>
              <w:jc w:val="both"/>
              <w:rPr>
                <w:rFonts w:ascii="Palatino Linotype" w:hAnsi="Palatino Linotype"/>
                <w:sz w:val="22"/>
                <w:szCs w:val="22"/>
              </w:rPr>
            </w:pPr>
            <w:r w:rsidRPr="006C251E">
              <w:rPr>
                <w:rFonts w:ascii="Palatino Linotype" w:hAnsi="Palatino Linotype" w:cs="Calibri"/>
                <w:b/>
                <w:szCs w:val="16"/>
                <w:lang w:eastAsia="id-ID"/>
              </w:rPr>
              <w:t>© 2026 by the authors</w:t>
            </w:r>
            <w:r w:rsidRPr="006C251E">
              <w:rPr>
                <w:rFonts w:ascii="Palatino Linotype" w:hAnsi="Palatino Linotype" w:cs="Calibri"/>
                <w:szCs w:val="16"/>
                <w:lang w:eastAsia="id-ID"/>
              </w:rPr>
              <w:t>. This is an open-access publication under the terms and conditions of the Creative Commons Attribution 4.0 International (CC BY SA) license,</w:t>
            </w:r>
            <w:r w:rsidR="00EB786F">
              <w:rPr>
                <w:rFonts w:ascii="Palatino Linotype" w:hAnsi="Palatino Linotype" w:cs="Calibri"/>
                <w:szCs w:val="16"/>
                <w:lang w:eastAsia="id-ID"/>
              </w:rPr>
              <w:t xml:space="preserve"> </w:t>
            </w:r>
            <w:hyperlink r:id="rId9" w:history="1">
              <w:r w:rsidR="00EB786F" w:rsidRPr="00D73AA6">
                <w:rPr>
                  <w:rStyle w:val="Hyperlink"/>
                  <w:rFonts w:ascii="Palatino Linotype" w:hAnsi="Palatino Linotype" w:cs="Calibri"/>
                  <w:color w:val="0000FF"/>
                  <w:spacing w:val="-1"/>
                  <w:szCs w:val="16"/>
                  <w:lang w:eastAsia="id-ID"/>
                </w:rPr>
                <w:t>https://creativecommons.org/licenses/by-sa/4.0/</w:t>
              </w:r>
            </w:hyperlink>
            <w:r w:rsidRPr="00D73AA6">
              <w:rPr>
                <w:rFonts w:ascii="Palatino Linotype" w:hAnsi="Palatino Linotype" w:cs="Calibri"/>
                <w:color w:val="0000FF"/>
                <w:spacing w:val="-1"/>
                <w:szCs w:val="16"/>
                <w:lang w:eastAsia="id-ID"/>
              </w:rPr>
              <w:t>.</w:t>
            </w:r>
            <w:r w:rsidR="00524F3D" w:rsidRPr="006C251E">
              <w:rPr>
                <w:rFonts w:ascii="Palatino Linotype" w:hAnsi="Palatino Linotype" w:cs="Calibri"/>
                <w:spacing w:val="-1"/>
                <w:szCs w:val="16"/>
                <w:lang w:eastAsia="id-ID"/>
              </w:rPr>
              <w:t xml:space="preserve"> </w:t>
            </w:r>
          </w:p>
        </w:tc>
      </w:tr>
    </w:tbl>
    <w:p w14:paraId="0AA006F6" w14:textId="77777777" w:rsidR="00561A2C" w:rsidRPr="006C251E" w:rsidRDefault="00561A2C" w:rsidP="00561A2C">
      <w:pPr>
        <w:widowControl/>
        <w:adjustRightInd w:val="0"/>
        <w:snapToGrid w:val="0"/>
        <w:spacing w:line="276" w:lineRule="auto"/>
        <w:ind w:firstLine="567"/>
        <w:jc w:val="both"/>
        <w:rPr>
          <w:rFonts w:ascii="Palatino Linotype" w:eastAsia="Times New Roman" w:hAnsi="Palatino Linotype"/>
          <w:snapToGrid w:val="0"/>
          <w:color w:val="000000"/>
          <w:spacing w:val="-2"/>
          <w:sz w:val="22"/>
          <w:szCs w:val="22"/>
          <w:lang w:val="en-US" w:eastAsia="de-DE" w:bidi="en-US"/>
        </w:rPr>
      </w:pPr>
    </w:p>
    <w:p w14:paraId="3837BEC5" w14:textId="77777777" w:rsidR="00A36355" w:rsidRPr="006C251E" w:rsidRDefault="00A36355" w:rsidP="00EB786F">
      <w:pPr>
        <w:adjustRightInd w:val="0"/>
        <w:snapToGrid w:val="0"/>
        <w:spacing w:before="120" w:after="120" w:line="276" w:lineRule="auto"/>
        <w:jc w:val="both"/>
        <w:outlineLvl w:val="0"/>
        <w:rPr>
          <w:rFonts w:ascii="Palatino Linotype" w:hAnsi="Palatino Linotype"/>
          <w:b/>
          <w:snapToGrid w:val="0"/>
          <w:color w:val="000000"/>
          <w:sz w:val="22"/>
          <w:lang w:eastAsia="zh-CN" w:bidi="en-US"/>
        </w:rPr>
      </w:pPr>
      <w:r w:rsidRPr="006C251E">
        <w:rPr>
          <w:rFonts w:ascii="Palatino Linotype" w:hAnsi="Palatino Linotype"/>
          <w:b/>
          <w:snapToGrid w:val="0"/>
          <w:color w:val="000000"/>
          <w:sz w:val="22"/>
          <w:lang w:eastAsia="zh-CN" w:bidi="en-US"/>
        </w:rPr>
        <w:t>INTRODUCTION</w:t>
      </w:r>
    </w:p>
    <w:p w14:paraId="4D9E5645" w14:textId="046C2372"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Change in educational institutions is an inevitability that must be faced in line with the changing times, technological advancements, and increasingly complex societal demands. Managing this change requires a systematic and strategic approach to ensure a smooth transition and a positive impact on all stakeholders, especially students</w:t>
      </w:r>
      <w:r w:rsidR="00EB786F">
        <w:rPr>
          <w:rFonts w:ascii="Palatino Linotype" w:eastAsia="Times New Roman" w:hAnsi="Palatino Linotype"/>
          <w:sz w:val="22"/>
          <w:szCs w:val="22"/>
          <w:lang w:val="id-ID" w:eastAsia="id-ID"/>
        </w:rPr>
        <w:t xml:space="preserve"> </w:t>
      </w:r>
      <w:r w:rsidR="00456CF1" w:rsidRPr="006C251E">
        <w:rPr>
          <w:rFonts w:ascii="Palatino Linotype" w:eastAsia="Times New Roman" w:hAnsi="Palatino Linotype"/>
          <w:sz w:val="22"/>
          <w:szCs w:val="22"/>
          <w:lang w:val="id-ID" w:eastAsia="id-ID"/>
        </w:rPr>
        <w:fldChar w:fldCharType="begin" w:fldLock="1"/>
      </w:r>
      <w:r w:rsidR="00456CF1" w:rsidRPr="006C251E">
        <w:rPr>
          <w:rFonts w:ascii="Palatino Linotype" w:eastAsia="Times New Roman" w:hAnsi="Palatino Linotype"/>
          <w:sz w:val="22"/>
          <w:szCs w:val="22"/>
          <w:lang w:val="id-ID" w:eastAsia="id-ID"/>
        </w:rPr>
        <w:instrText>ADDIN CSL_CITATION {"citationItems":[{"id":"ITEM-1","itemData":{"ISSN":"3088-988X","author":[{"dropping-particle":"","family":"Nufuz","given":"Devi Alhayatun","non-dropping-particle":"","parse-names":false,"suffix":""},{"dropping-particle":"","family":"Mahendra","given":"Muhammad Hadyanshah","non-dropping-particle":"","parse-names":false,"suffix":""},{"dropping-particle":"","family":"Faqih","given":"Abdullah","non-dropping-particle":"","parse-names":false,"suffix":""},{"dropping-particle":"","family":"Setianingrum","given":"Nurul","non-dropping-particle":"","parse-names":false,"suffix":""}],"container-title":"Menulis: Jurnal Penelitian Nusantara","id":"ITEM-1","issue":"6","issued":{"date-parts":[["2025"]]},"page":"540-547","title":"Strategi efektif dalam manajemen perubahan: Membangun ketahanan organisasi di era digital","type":"article-journal","volume":"1"},"uris":["http://www.mendeley.com/documents/?uuid=1493f1fe-29e7-4939-8bc9-20d6b983c94e"]}],"mendeley":{"formattedCitation":"(Nufuz et al., 2025)","plainTextFormattedCitation":"(Nufuz et al., 2025)","previouslyFormattedCitation":"(Nufuz et al., 2025)"},"properties":{"noteIndex":0},"schema":"https://github.com/citation-style-language/schema/raw/master/csl-citation.json"}</w:instrText>
      </w:r>
      <w:r w:rsidR="00456CF1" w:rsidRPr="006C251E">
        <w:rPr>
          <w:rFonts w:ascii="Palatino Linotype" w:eastAsia="Times New Roman" w:hAnsi="Palatino Linotype"/>
          <w:sz w:val="22"/>
          <w:szCs w:val="22"/>
          <w:lang w:val="id-ID" w:eastAsia="id-ID"/>
        </w:rPr>
        <w:fldChar w:fldCharType="separate"/>
      </w:r>
      <w:r w:rsidR="00456CF1" w:rsidRPr="006C251E">
        <w:rPr>
          <w:rFonts w:ascii="Palatino Linotype" w:eastAsia="Times New Roman" w:hAnsi="Palatino Linotype"/>
          <w:noProof/>
          <w:sz w:val="22"/>
          <w:szCs w:val="22"/>
          <w:lang w:val="id-ID" w:eastAsia="id-ID"/>
        </w:rPr>
        <w:t>(Nufuz et al., 2025)</w:t>
      </w:r>
      <w:r w:rsidR="00456CF1" w:rsidRPr="006C251E">
        <w:rPr>
          <w:rFonts w:ascii="Palatino Linotype" w:eastAsia="Times New Roman" w:hAnsi="Palatino Linotype"/>
          <w:sz w:val="22"/>
          <w:szCs w:val="22"/>
          <w:lang w:val="id-ID" w:eastAsia="id-ID"/>
        </w:rPr>
        <w:fldChar w:fldCharType="end"/>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In this context, the role of educational administration is crucial in formulating and implementing effective strategies. Educational institutions are often faced with various changes, both internal, such as curriculum updates, and external, such as government policies and social dynamics</w:t>
      </w:r>
      <w:r w:rsidR="00EB786F">
        <w:rPr>
          <w:rFonts w:ascii="Palatino Linotype" w:eastAsia="Times New Roman" w:hAnsi="Palatino Linotype"/>
          <w:sz w:val="22"/>
          <w:szCs w:val="22"/>
          <w:lang w:val="id-ID" w:eastAsia="id-ID"/>
        </w:rPr>
        <w:t xml:space="preserve"> </w:t>
      </w:r>
      <w:r w:rsidR="00456CF1" w:rsidRPr="006C251E">
        <w:rPr>
          <w:rFonts w:ascii="Palatino Linotype" w:eastAsia="Times New Roman" w:hAnsi="Palatino Linotype"/>
          <w:sz w:val="22"/>
          <w:szCs w:val="22"/>
          <w:lang w:val="id-ID" w:eastAsia="id-ID"/>
        </w:rPr>
        <w:fldChar w:fldCharType="begin" w:fldLock="1"/>
      </w:r>
      <w:r w:rsidR="00FF1327" w:rsidRPr="006C251E">
        <w:rPr>
          <w:rFonts w:ascii="Palatino Linotype" w:eastAsia="Times New Roman" w:hAnsi="Palatino Linotype"/>
          <w:sz w:val="22"/>
          <w:szCs w:val="22"/>
          <w:lang w:val="id-ID" w:eastAsia="id-ID"/>
        </w:rPr>
        <w:instrText>ADDIN CSL_CITATION {"citationItems":[{"id":"ITEM-1","itemData":{"ISSN":"2963-7651","author":[{"dropping-particle":"","family":"Fuad","given":"Rahmad","non-dropping-particle":"","parse-names":false,"suffix":""},{"dropping-particle":"","family":"Iswantir","given":"M","non-dropping-particle":"","parse-names":false,"suffix":""}],"container-title":"Jurnal Hukum, Politik Dan Ilmu Sosial","id":"ITEM-1","issue":"2","issued":{"date-parts":[["2024"]]},"page":"118-131","title":"Peningkatan kualitas pendidikan di pesantren melalui inovasi kurikulum","type":"article-journal","volume":"3"},"uris":["http://www.mendeley.com/documents/?uuid=9bc27ed8-6f6d-467b-9f70-734257707801"]}],"mendeley":{"formattedCitation":"(Fuad &amp; Iswantir, 2024)","plainTextFormattedCitation":"(Fuad &amp; Iswantir, 2024)","previouslyFormattedCitation":"(Fuad &amp; Iswantir, 2024)"},"properties":{"noteIndex":0},"schema":"https://github.com/citation-style-language/schema/raw/master/csl-citation.json"}</w:instrText>
      </w:r>
      <w:r w:rsidR="00456CF1" w:rsidRPr="006C251E">
        <w:rPr>
          <w:rFonts w:ascii="Palatino Linotype" w:eastAsia="Times New Roman" w:hAnsi="Palatino Linotype"/>
          <w:sz w:val="22"/>
          <w:szCs w:val="22"/>
          <w:lang w:val="id-ID" w:eastAsia="id-ID"/>
        </w:rPr>
        <w:fldChar w:fldCharType="separate"/>
      </w:r>
      <w:r w:rsidR="00456CF1" w:rsidRPr="006C251E">
        <w:rPr>
          <w:rFonts w:ascii="Palatino Linotype" w:eastAsia="Times New Roman" w:hAnsi="Palatino Linotype"/>
          <w:noProof/>
          <w:sz w:val="22"/>
          <w:szCs w:val="22"/>
          <w:lang w:val="id-ID" w:eastAsia="id-ID"/>
        </w:rPr>
        <w:t>(Fuad &amp; Iswantir, 2024)</w:t>
      </w:r>
      <w:r w:rsidR="00456CF1" w:rsidRPr="006C251E">
        <w:rPr>
          <w:rFonts w:ascii="Palatino Linotype" w:eastAsia="Times New Roman" w:hAnsi="Palatino Linotype"/>
          <w:sz w:val="22"/>
          <w:szCs w:val="22"/>
          <w:lang w:val="id-ID" w:eastAsia="id-ID"/>
        </w:rPr>
        <w:fldChar w:fldCharType="end"/>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Although change is necessary to improve the quality of education, many institutions struggle to manage it. This is often due to resistance from certain parties, a lack of effective communication, and a lack of clarity in change planning.</w:t>
      </w:r>
    </w:p>
    <w:p w14:paraId="4E607294" w14:textId="4ECDA436"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lastRenderedPageBreak/>
        <w:t>Failure to manage change can result in negative impacts, such as decreased teacher and student motivation, confusion in program implementation, and even a crisis of trust among parents and the community</w:t>
      </w:r>
      <w:r w:rsidR="00EB786F">
        <w:rPr>
          <w:rFonts w:ascii="Palatino Linotype" w:eastAsia="Times New Roman" w:hAnsi="Palatino Linotype"/>
          <w:sz w:val="22"/>
          <w:szCs w:val="22"/>
          <w:lang w:val="id-ID" w:eastAsia="id-ID"/>
        </w:rPr>
        <w:t xml:space="preserve"> </w:t>
      </w:r>
      <w:r w:rsidR="00FF1327" w:rsidRPr="006C251E">
        <w:rPr>
          <w:rFonts w:ascii="Palatino Linotype" w:eastAsia="Times New Roman" w:hAnsi="Palatino Linotype"/>
          <w:sz w:val="22"/>
          <w:szCs w:val="22"/>
          <w:lang w:val="id-ID" w:eastAsia="id-ID"/>
        </w:rPr>
        <w:fldChar w:fldCharType="begin" w:fldLock="1"/>
      </w:r>
      <w:r w:rsidR="00FF1327" w:rsidRPr="006C251E">
        <w:rPr>
          <w:rFonts w:ascii="Palatino Linotype" w:eastAsia="Times New Roman" w:hAnsi="Palatino Linotype"/>
          <w:sz w:val="22"/>
          <w:szCs w:val="22"/>
          <w:lang w:val="id-ID" w:eastAsia="id-ID"/>
        </w:rPr>
        <w:instrText>ADDIN CSL_CITATION {"citationItems":[{"id":"ITEM-1","itemData":{"ISSN":"3090-8019","author":[{"dropping-particle":"","family":"Permana","given":"Muharirul Umam Adi","non-dropping-particle":"","parse-names":false,"suffix":""}],"container-title":"Visionaria: Journal of Educational Innovation Management","id":"ITEM-1","issue":"1","issued":{"date-parts":[["2025"]]},"page":"51-69","title":"Perubahan Kepemimpinan dalam Lembaga Pendidikan Islam: Dampak Krisis Kepercayaan Masyarakat terhadap Pengelolaan dan Keberlanjutan","type":"article-journal","volume":"1"},"uris":["http://www.mendeley.com/documents/?uuid=bf4edcd3-fe8b-443a-990a-cb6e7c28716d"]}],"mendeley":{"formattedCitation":"(Permana, 2025)","plainTextFormattedCitation":"(Permana, 2025)","previouslyFormattedCitation":"(Permana, 2025)"},"properties":{"noteIndex":0},"schema":"https://github.com/citation-style-language/schema/raw/master/csl-citation.json"}</w:instrText>
      </w:r>
      <w:r w:rsidR="00FF1327" w:rsidRPr="006C251E">
        <w:rPr>
          <w:rFonts w:ascii="Palatino Linotype" w:eastAsia="Times New Roman" w:hAnsi="Palatino Linotype"/>
          <w:sz w:val="22"/>
          <w:szCs w:val="22"/>
          <w:lang w:val="id-ID" w:eastAsia="id-ID"/>
        </w:rPr>
        <w:fldChar w:fldCharType="separate"/>
      </w:r>
      <w:r w:rsidR="00FF1327" w:rsidRPr="006C251E">
        <w:rPr>
          <w:rFonts w:ascii="Palatino Linotype" w:eastAsia="Times New Roman" w:hAnsi="Palatino Linotype"/>
          <w:noProof/>
          <w:sz w:val="22"/>
          <w:szCs w:val="22"/>
          <w:lang w:val="id-ID" w:eastAsia="id-ID"/>
        </w:rPr>
        <w:t>(Permana, 2025)</w:t>
      </w:r>
      <w:r w:rsidR="00FF1327" w:rsidRPr="006C251E">
        <w:rPr>
          <w:rFonts w:ascii="Palatino Linotype" w:eastAsia="Times New Roman" w:hAnsi="Palatino Linotype"/>
          <w:sz w:val="22"/>
          <w:szCs w:val="22"/>
          <w:lang w:val="id-ID" w:eastAsia="id-ID"/>
        </w:rPr>
        <w:fldChar w:fldCharType="end"/>
      </w:r>
      <w:r w:rsidRPr="006C251E">
        <w:rPr>
          <w:rFonts w:ascii="Palatino Linotype" w:eastAsia="Times New Roman" w:hAnsi="Palatino Linotype"/>
          <w:sz w:val="22"/>
          <w:szCs w:val="22"/>
          <w:lang w:val="id-ID" w:eastAsia="id-ID"/>
        </w:rPr>
        <w:t>. Therefore, a deep understanding of the administrative strategies that can be adopted to overcome these challenges is needed. A change management expert, suggests that a successful change process must follow eight steps, including creating urgency, building a strong coalition, and communicating the vision of change.</w:t>
      </w:r>
    </w:p>
    <w:p w14:paraId="6518659D" w14:textId="31FA43EB"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In the context of education,</w:t>
      </w:r>
      <w:r w:rsidR="00EB786F">
        <w:rPr>
          <w:rFonts w:ascii="Palatino Linotype" w:eastAsia="Times New Roman" w:hAnsi="Palatino Linotype"/>
          <w:sz w:val="22"/>
          <w:szCs w:val="22"/>
          <w:lang w:val="id-ID" w:eastAsia="id-ID"/>
        </w:rPr>
        <w:t xml:space="preserve"> </w:t>
      </w:r>
      <w:r w:rsidR="00FF1327" w:rsidRPr="006C251E">
        <w:rPr>
          <w:rFonts w:ascii="Palatino Linotype" w:eastAsia="Times New Roman" w:hAnsi="Palatino Linotype"/>
          <w:sz w:val="22"/>
          <w:szCs w:val="22"/>
          <w:lang w:val="id-ID" w:eastAsia="id-ID"/>
        </w:rPr>
        <w:fldChar w:fldCharType="begin" w:fldLock="1"/>
      </w:r>
      <w:r w:rsidR="00681514" w:rsidRPr="006C251E">
        <w:rPr>
          <w:rFonts w:ascii="Palatino Linotype" w:eastAsia="Times New Roman" w:hAnsi="Palatino Linotype"/>
          <w:sz w:val="22"/>
          <w:szCs w:val="22"/>
          <w:lang w:val="id-ID" w:eastAsia="id-ID"/>
        </w:rPr>
        <w:instrText>ADDIN CSL_CITATION {"citationItems":[{"id":"ITEM-1","itemData":{"author":[{"dropping-particle":"","family":"Kotler","given":"Philip","non-dropping-particle":"","parse-names":false,"suffix":""},{"dropping-particle":"","family":"Keller","given":"Kevin Lane","non-dropping-particle":"","parse-names":false,"suffix":""}],"id":"ITEM-1","issued":{"date-parts":[["2016"]]},"publisher":"Prentice Hall","title":"A framework for marketing management","type":"book"},"uris":["http://www.mendeley.com/documents/?uuid=9a5a7853-f671-4ad6-a899-3192e0c8ae97"]}],"mendeley":{"formattedCitation":"(Kotler &amp; Keller, 2016)","plainTextFormattedCitation":"(Kotler &amp; Keller, 2016)","previouslyFormattedCitation":"(Kotler &amp; Keller, 2016)"},"properties":{"noteIndex":0},"schema":"https://github.com/citation-style-language/schema/raw/master/csl-citation.json"}</w:instrText>
      </w:r>
      <w:r w:rsidR="00FF1327" w:rsidRPr="006C251E">
        <w:rPr>
          <w:rFonts w:ascii="Palatino Linotype" w:eastAsia="Times New Roman" w:hAnsi="Palatino Linotype"/>
          <w:sz w:val="22"/>
          <w:szCs w:val="22"/>
          <w:lang w:val="id-ID" w:eastAsia="id-ID"/>
        </w:rPr>
        <w:fldChar w:fldCharType="separate"/>
      </w:r>
      <w:r w:rsidR="00FF1327" w:rsidRPr="006C251E">
        <w:rPr>
          <w:rFonts w:ascii="Palatino Linotype" w:eastAsia="Times New Roman" w:hAnsi="Palatino Linotype"/>
          <w:noProof/>
          <w:sz w:val="22"/>
          <w:szCs w:val="22"/>
          <w:lang w:val="id-ID" w:eastAsia="id-ID"/>
        </w:rPr>
        <w:t xml:space="preserve">Kotler &amp; Keller, </w:t>
      </w:r>
      <w:r w:rsidR="00EB786F">
        <w:rPr>
          <w:rFonts w:ascii="Palatino Linotype" w:eastAsia="Times New Roman" w:hAnsi="Palatino Linotype"/>
          <w:noProof/>
          <w:sz w:val="22"/>
          <w:szCs w:val="22"/>
          <w:lang w:val="id-ID" w:eastAsia="id-ID"/>
        </w:rPr>
        <w:t>(</w:t>
      </w:r>
      <w:r w:rsidR="00FF1327" w:rsidRPr="006C251E">
        <w:rPr>
          <w:rFonts w:ascii="Palatino Linotype" w:eastAsia="Times New Roman" w:hAnsi="Palatino Linotype"/>
          <w:noProof/>
          <w:sz w:val="22"/>
          <w:szCs w:val="22"/>
          <w:lang w:val="id-ID" w:eastAsia="id-ID"/>
        </w:rPr>
        <w:t>2016)</w:t>
      </w:r>
      <w:r w:rsidR="00FF1327" w:rsidRPr="006C251E">
        <w:rPr>
          <w:rFonts w:ascii="Palatino Linotype" w:eastAsia="Times New Roman" w:hAnsi="Palatino Linotype"/>
          <w:sz w:val="22"/>
          <w:szCs w:val="22"/>
          <w:lang w:val="id-ID" w:eastAsia="id-ID"/>
        </w:rPr>
        <w:fldChar w:fldCharType="end"/>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Stressing the importance of involving all stakeholders to ensure broad support for change, an expert in education reform argued that educational change should focus on developing teacher capacity and collaboration among teachers. He argued that a successful administrative strategy should include ongoing training and creating a collaborative work culture where teachers can learn from each other and share best practices.</w:t>
      </w:r>
      <w:r w:rsidR="00EB786F">
        <w:rPr>
          <w:rFonts w:ascii="Palatino Linotype" w:eastAsia="Times New Roman" w:hAnsi="Palatino Linotype"/>
          <w:sz w:val="22"/>
          <w:szCs w:val="22"/>
          <w:lang w:val="id-ID" w:eastAsia="id-ID"/>
        </w:rPr>
        <w:t xml:space="preserve"> </w:t>
      </w:r>
      <w:r w:rsidR="00681514" w:rsidRPr="006C251E">
        <w:rPr>
          <w:rFonts w:ascii="Palatino Linotype" w:eastAsia="Times New Roman" w:hAnsi="Palatino Linotype"/>
          <w:sz w:val="22"/>
          <w:szCs w:val="22"/>
          <w:lang w:val="id-ID" w:eastAsia="id-ID"/>
        </w:rPr>
        <w:fldChar w:fldCharType="begin" w:fldLock="1"/>
      </w:r>
      <w:r w:rsidR="001578D5" w:rsidRPr="006C251E">
        <w:rPr>
          <w:rFonts w:ascii="Palatino Linotype" w:eastAsia="Times New Roman" w:hAnsi="Palatino Linotype"/>
          <w:sz w:val="22"/>
          <w:szCs w:val="22"/>
          <w:lang w:val="id-ID" w:eastAsia="id-ID"/>
        </w:rPr>
        <w:instrText>ADDIN CSL_CITATION {"citationItems":[{"id":"ITEM-1","itemData":{"ISSN":"1368-3047","author":[{"dropping-particle":"","family":"Senge","given":"Peter M","non-dropping-particle":"","parse-names":false,"suffix":""}],"container-title":"Measuring business excellence","id":"ITEM-1","issue":"3","issued":{"date-parts":[["1997"]]},"page":"46-51","publisher":"MCB UP Ltd","title":"The fifth discipline","type":"article-journal","volume":"1"},"uris":["http://www.mendeley.com/documents/?uuid=62d25003-ea79-43e1-88a1-c14b94e7db52"]}],"mendeley":{"formattedCitation":"(Senge, 1997)","plainTextFormattedCitation":"(Senge, 1997)","previouslyFormattedCitation":"(Senge, 1997)"},"properties":{"noteIndex":0},"schema":"https://github.com/citation-style-language/schema/raw/master/csl-citation.json"}</w:instrText>
      </w:r>
      <w:r w:rsidR="00681514" w:rsidRPr="006C251E">
        <w:rPr>
          <w:rFonts w:ascii="Palatino Linotype" w:eastAsia="Times New Roman" w:hAnsi="Palatino Linotype"/>
          <w:sz w:val="22"/>
          <w:szCs w:val="22"/>
          <w:lang w:val="id-ID" w:eastAsia="id-ID"/>
        </w:rPr>
        <w:fldChar w:fldCharType="separate"/>
      </w:r>
      <w:r w:rsidR="00681514" w:rsidRPr="006C251E">
        <w:rPr>
          <w:rFonts w:ascii="Palatino Linotype" w:eastAsia="Times New Roman" w:hAnsi="Palatino Linotype"/>
          <w:noProof/>
          <w:sz w:val="22"/>
          <w:szCs w:val="22"/>
          <w:lang w:val="id-ID" w:eastAsia="id-ID"/>
        </w:rPr>
        <w:t xml:space="preserve">Senge, </w:t>
      </w:r>
      <w:r w:rsidR="00EB786F">
        <w:rPr>
          <w:rFonts w:ascii="Palatino Linotype" w:eastAsia="Times New Roman" w:hAnsi="Palatino Linotype"/>
          <w:noProof/>
          <w:sz w:val="22"/>
          <w:szCs w:val="22"/>
          <w:lang w:val="id-ID" w:eastAsia="id-ID"/>
        </w:rPr>
        <w:t>(</w:t>
      </w:r>
      <w:r w:rsidR="00681514" w:rsidRPr="006C251E">
        <w:rPr>
          <w:rFonts w:ascii="Palatino Linotype" w:eastAsia="Times New Roman" w:hAnsi="Palatino Linotype"/>
          <w:noProof/>
          <w:sz w:val="22"/>
          <w:szCs w:val="22"/>
          <w:lang w:val="id-ID" w:eastAsia="id-ID"/>
        </w:rPr>
        <w:t>1997)</w:t>
      </w:r>
      <w:r w:rsidR="00681514" w:rsidRPr="006C251E">
        <w:rPr>
          <w:rFonts w:ascii="Palatino Linotype" w:eastAsia="Times New Roman" w:hAnsi="Palatino Linotype"/>
          <w:sz w:val="22"/>
          <w:szCs w:val="22"/>
          <w:lang w:val="id-ID" w:eastAsia="id-ID"/>
        </w:rPr>
        <w:fldChar w:fldCharType="end"/>
      </w:r>
      <w:r w:rsidRPr="006C251E">
        <w:rPr>
          <w:rFonts w:ascii="Palatino Linotype" w:eastAsia="Times New Roman" w:hAnsi="Palatino Linotype"/>
          <w:sz w:val="22"/>
          <w:szCs w:val="22"/>
          <w:lang w:val="id-ID" w:eastAsia="id-ID"/>
        </w:rPr>
        <w:t>, author of "The Fifth Discipline," focuses on the concept of organizational learning. He believes that to manage change effectively, educational institutions must become learning organizations. Senge emphasizes that administrative strategies must encourage the involvement and development of all organizational members, as well as create an environment that supports innovation and experimentation. He focuses on the role of leaders in managing change. He states that educational leaders must build a strong professional community within the school.</w:t>
      </w:r>
    </w:p>
    <w:p w14:paraId="1F880012" w14:textId="05DFD7C7" w:rsidR="000177D3" w:rsidRPr="006C251E" w:rsidRDefault="000177D3" w:rsidP="006C251E">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An effective administrative strategy must involve creating mutually supportive relationships between teachers, staff, and the principal, so that all parties feel involved in the change process.</w:t>
      </w:r>
      <w:r w:rsidR="001578D5" w:rsidRPr="006C251E">
        <w:rPr>
          <w:rFonts w:ascii="Palatino Linotype" w:eastAsia="Times New Roman" w:hAnsi="Palatino Linotype"/>
          <w:sz w:val="22"/>
          <w:szCs w:val="22"/>
          <w:lang w:val="id-ID" w:eastAsia="id-ID"/>
        </w:rPr>
        <w:fldChar w:fldCharType="begin" w:fldLock="1"/>
      </w:r>
      <w:r w:rsidR="00A057BD" w:rsidRPr="006C251E">
        <w:rPr>
          <w:rFonts w:ascii="Palatino Linotype" w:eastAsia="Times New Roman" w:hAnsi="Palatino Linotype"/>
          <w:sz w:val="22"/>
          <w:szCs w:val="22"/>
          <w:lang w:val="id-ID" w:eastAsia="id-ID"/>
        </w:rPr>
        <w:instrText>ADDIN CSL_CITATION {"citationItems":[{"id":"ITEM-1","itemData":{"ISSN":"2776-2424","author":[{"dropping-particle":"","family":"Nufus","given":"Elok Aulia Bilawatin","non-dropping-particle":"","parse-names":false,"suffix":""},{"dropping-particle":"","family":"Riyanto","given":"Yatim","non-dropping-particle":"","parse-names":false,"suffix":""},{"dropping-particle":"","family":"Setyowati","given":"Sri","non-dropping-particle":"","parse-names":false,"suffix":""}],"container-title":"Jurnal Administrasi Pendidikan Islam","id":"ITEM-1","issue":"2","issued":{"date-parts":[["2024"]]},"page":"185-202","title":"Strategi dan pendekatan kepemimpinan dalam meningkatkan kualitas pendidikan","type":"article-journal","volume":"6"},"uris":["http://www.mendeley.com/documents/?uuid=84599bc2-40f6-494d-bba9-ecdf5af582a3"]}],"mendeley":{"formattedCitation":"(Nufus et al., 2024)","plainTextFormattedCitation":"(Nufus et al., 2024)","previouslyFormattedCitation":"(Nufus et al., 2024)"},"properties":{"noteIndex":0},"schema":"https://github.com/citation-style-language/schema/raw/master/csl-citation.json"}</w:instrText>
      </w:r>
      <w:r w:rsidR="001578D5" w:rsidRPr="006C251E">
        <w:rPr>
          <w:rFonts w:ascii="Palatino Linotype" w:eastAsia="Times New Roman" w:hAnsi="Palatino Linotype"/>
          <w:sz w:val="22"/>
          <w:szCs w:val="22"/>
          <w:lang w:val="id-ID" w:eastAsia="id-ID"/>
        </w:rPr>
        <w:fldChar w:fldCharType="separate"/>
      </w:r>
      <w:r w:rsidR="001578D5" w:rsidRPr="006C251E">
        <w:rPr>
          <w:rFonts w:ascii="Palatino Linotype" w:eastAsia="Times New Roman" w:hAnsi="Palatino Linotype"/>
          <w:noProof/>
          <w:sz w:val="22"/>
          <w:szCs w:val="22"/>
          <w:lang w:val="id-ID" w:eastAsia="id-ID"/>
        </w:rPr>
        <w:t>(Nufus et al., 2024)</w:t>
      </w:r>
      <w:r w:rsidR="001578D5" w:rsidRPr="006C251E">
        <w:rPr>
          <w:rFonts w:ascii="Palatino Linotype" w:eastAsia="Times New Roman" w:hAnsi="Palatino Linotype"/>
          <w:sz w:val="22"/>
          <w:szCs w:val="22"/>
          <w:lang w:val="id-ID" w:eastAsia="id-ID"/>
        </w:rPr>
        <w:fldChar w:fldCharType="end"/>
      </w:r>
      <w:r w:rsidRPr="006C251E">
        <w:rPr>
          <w:rFonts w:ascii="Palatino Linotype" w:eastAsia="Times New Roman" w:hAnsi="Palatino Linotype"/>
          <w:sz w:val="22"/>
          <w:szCs w:val="22"/>
          <w:lang w:val="id-ID" w:eastAsia="id-ID"/>
        </w:rPr>
        <w:t xml:space="preserve">  emphasizes that change in education requires not only changes in policy but also in daily practice. He argues that administration must focus on improving teaching and learning practices. A successful strategy must integrate teacher professional development and systematic support for the implementation of new curricula. He has experience in educational reform, stating that the success of educational change depends heavily on the leader's ability to communicate a clear vision and inspire the entire team. He argues that administration must be able to create a positive and supportive climate, where every individual feels valued and has a role in the change.</w:t>
      </w:r>
    </w:p>
    <w:p w14:paraId="3F776B43" w14:textId="77777777"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The expert opinions above demonstrate that managing change in educational institutions requires a comprehensive and integrated approach. An effective administrative strategy should include the involvement of all stakeholders, continuous professional development, and the creation of an organizational culture that supports innovation and collaboration. By adhering to these principles, educational institutions can better face the challenges of change and achieve their desired educational goals.</w:t>
      </w:r>
    </w:p>
    <w:p w14:paraId="635AB012" w14:textId="77777777"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This article aims to explore various administrative strategies that can be applied to managing change in educational institutions and provide recommendations for best practices that can support successful change implementation. This is expected to enable educational institutions to adapt effectively and sustainably to current dynamics.</w:t>
      </w:r>
    </w:p>
    <w:p w14:paraId="29218E5D" w14:textId="77777777"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p>
    <w:p w14:paraId="075F47E0" w14:textId="690C6968" w:rsidR="000177D3" w:rsidRPr="006C251E" w:rsidRDefault="000177D3" w:rsidP="00EB786F">
      <w:pPr>
        <w:widowControl/>
        <w:spacing w:before="120" w:after="120" w:line="276" w:lineRule="auto"/>
        <w:jc w:val="both"/>
        <w:rPr>
          <w:rFonts w:ascii="Palatino Linotype" w:eastAsia="Times New Roman" w:hAnsi="Palatino Linotype"/>
          <w:b/>
          <w:bCs/>
          <w:sz w:val="22"/>
          <w:szCs w:val="22"/>
          <w:lang w:val="id-ID" w:eastAsia="id-ID"/>
        </w:rPr>
      </w:pPr>
      <w:r w:rsidRPr="006C251E">
        <w:rPr>
          <w:rFonts w:ascii="Palatino Linotype" w:eastAsia="Times New Roman" w:hAnsi="Palatino Linotype"/>
          <w:b/>
          <w:bCs/>
          <w:sz w:val="22"/>
          <w:szCs w:val="22"/>
          <w:lang w:val="id-ID" w:eastAsia="id-ID"/>
        </w:rPr>
        <w:lastRenderedPageBreak/>
        <w:t>METHOD</w:t>
      </w:r>
      <w:r w:rsidR="00EB786F">
        <w:rPr>
          <w:rFonts w:ascii="Palatino Linotype" w:eastAsia="Times New Roman" w:hAnsi="Palatino Linotype"/>
          <w:b/>
          <w:bCs/>
          <w:sz w:val="22"/>
          <w:szCs w:val="22"/>
          <w:lang w:val="id-ID" w:eastAsia="id-ID"/>
        </w:rPr>
        <w:t>S</w:t>
      </w:r>
    </w:p>
    <w:p w14:paraId="747EA228" w14:textId="1C34AF39"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Qualitative Approach: This study will use a qualitative approach to gain an in-depth understanding of administrative strategies in managing change. This approach allows researchers to explore the perspectives and experiences of stakeholders in educational institutions. The study was conducted using a case study method in educational institutions that have implemented change. This allows for a more comprehensive and contextual analysis of the strategies implemented. The population of this study is principals, teachers, and administrative staff from various educational institutions, including elementary schools, secondary schools, and universities. Sampling will be carried out purposively, where researchers select educational institutions that have undergone a process of change in recent years. The number of samples can be adjusted based on the depth of information obtained. Data Collection Techniques: In-depth interviews, observations covering daily activities at school, meetings, and interactions between the parties involved. Documentation collection of documents such as school policies, evaluation reports, and training materials will also be conducted to complement the data obtained from interviews and observations. Data obtained from interviews and observations will be analyzed using thematic analysis techniques. To ensure the validity and reliability of the data, researchers will triangulate data by comparing the results of interviews, observations, and documentation.</w:t>
      </w:r>
    </w:p>
    <w:p w14:paraId="391FC973" w14:textId="77777777" w:rsidR="000177D3" w:rsidRPr="006C251E" w:rsidRDefault="000177D3" w:rsidP="00EB786F">
      <w:pPr>
        <w:widowControl/>
        <w:spacing w:before="120" w:after="120" w:line="276" w:lineRule="auto"/>
        <w:jc w:val="both"/>
        <w:rPr>
          <w:rFonts w:ascii="Palatino Linotype" w:eastAsia="Times New Roman" w:hAnsi="Palatino Linotype"/>
          <w:b/>
          <w:bCs/>
          <w:sz w:val="22"/>
          <w:szCs w:val="22"/>
          <w:lang w:val="id-ID" w:eastAsia="id-ID"/>
        </w:rPr>
      </w:pPr>
      <w:r w:rsidRPr="006C251E">
        <w:rPr>
          <w:rFonts w:ascii="Palatino Linotype" w:eastAsia="Times New Roman" w:hAnsi="Palatino Linotype"/>
          <w:b/>
          <w:bCs/>
          <w:sz w:val="22"/>
          <w:szCs w:val="22"/>
          <w:lang w:val="id-ID" w:eastAsia="id-ID"/>
        </w:rPr>
        <w:t>RESULTS AND DISCUSSION</w:t>
      </w:r>
    </w:p>
    <w:p w14:paraId="1380106E" w14:textId="77777777" w:rsidR="000177D3" w:rsidRPr="006C251E" w:rsidRDefault="000177D3" w:rsidP="000177D3">
      <w:pPr>
        <w:widowControl/>
        <w:spacing w:line="276" w:lineRule="auto"/>
        <w:jc w:val="both"/>
        <w:rPr>
          <w:rFonts w:ascii="Palatino Linotype" w:eastAsia="Times New Roman" w:hAnsi="Palatino Linotype"/>
          <w:b/>
          <w:bCs/>
          <w:sz w:val="22"/>
          <w:szCs w:val="22"/>
          <w:lang w:val="id-ID" w:eastAsia="id-ID"/>
        </w:rPr>
      </w:pPr>
      <w:r w:rsidRPr="006C251E">
        <w:rPr>
          <w:rFonts w:ascii="Palatino Linotype" w:eastAsia="Times New Roman" w:hAnsi="Palatino Linotype"/>
          <w:b/>
          <w:bCs/>
          <w:sz w:val="22"/>
          <w:szCs w:val="22"/>
          <w:lang w:val="id-ID" w:eastAsia="id-ID"/>
        </w:rPr>
        <w:t>Results</w:t>
      </w:r>
    </w:p>
    <w:p w14:paraId="330302A9" w14:textId="3A34A96F"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Managing change in educational institutions is a complex and challenging process that requires a well-thought-out and well-planned administrative strategy. This strategy encompasses several important, interrelated aspects to ensure the change is accepted and successfully implemented. The first step in managing change is thorough planning. Educational administration needs to conduct a thorough analysis of the need for and objectives of the change</w:t>
      </w:r>
      <w:r w:rsidR="00EB786F">
        <w:rPr>
          <w:rFonts w:ascii="Palatino Linotype" w:eastAsia="Times New Roman" w:hAnsi="Palatino Linotype"/>
          <w:sz w:val="22"/>
          <w:szCs w:val="22"/>
          <w:lang w:val="id-ID" w:eastAsia="id-ID"/>
        </w:rPr>
        <w:t xml:space="preserve"> </w:t>
      </w:r>
      <w:r w:rsidR="00A057BD" w:rsidRPr="006C251E">
        <w:rPr>
          <w:rFonts w:ascii="Palatino Linotype" w:eastAsia="Times New Roman" w:hAnsi="Palatino Linotype"/>
          <w:sz w:val="22"/>
          <w:szCs w:val="22"/>
          <w:lang w:val="id-ID" w:eastAsia="id-ID"/>
        </w:rPr>
        <w:fldChar w:fldCharType="begin" w:fldLock="1"/>
      </w:r>
      <w:r w:rsidR="00A057BD" w:rsidRPr="006C251E">
        <w:rPr>
          <w:rFonts w:ascii="Palatino Linotype" w:eastAsia="Times New Roman" w:hAnsi="Palatino Linotype"/>
          <w:sz w:val="22"/>
          <w:szCs w:val="22"/>
          <w:lang w:val="id-ID" w:eastAsia="id-ID"/>
        </w:rPr>
        <w:instrText>ADDIN CSL_CITATION {"citationItems":[{"id":"ITEM-1","itemData":{"abstract":"… -praktek pendidikan. Mahidin dikutip Johan Bhimo Sukoco menyebutkan bahwa ukuran … administrasi pendidikan ialah produktivitas pendidikan, yaitu dilihat dari produk hasil pendidikan…","author":[{"dropping-particle":"","family":"Susanto","given":"D","non-dropping-particle":"","parse-names":false,"suffix":""},{"dropping-particle":"","family":"Ardiansyah","given":"S P","non-dropping-particle":"","parse-names":false,"suffix":""},{"dropping-particle":"","family":"Pd","given":"M S","non-dropping-particle":"","parse-names":false,"suffix":""},{"dropping-particle":"","family":"Kom","given":"M","non-dropping-particle":"","parse-names":false,"suffix":""},{"dropping-particle":"","family":"...","given":"","non-dropping-particle":"","parse-names":false,"suffix":""}],"id":"ITEM-1","issued":{"date-parts":[["2023"]]},"publisher":"books.google.com","title":"Administrasi Dan Supervisi Pendidikan Islam","type":"book"},"uris":["http://www.mendeley.com/documents/?uuid=7f768196-789d-43f3-89c6-0b48748e0626"]}],"mendeley":{"formattedCitation":"(Susanto et al., 2023)","plainTextFormattedCitation":"(Susanto et al., 2023)"},"properties":{"noteIndex":0},"schema":"https://github.com/citation-style-language/schema/raw/master/csl-citation.json"}</w:instrText>
      </w:r>
      <w:r w:rsidR="00A057BD" w:rsidRPr="006C251E">
        <w:rPr>
          <w:rFonts w:ascii="Palatino Linotype" w:eastAsia="Times New Roman" w:hAnsi="Palatino Linotype"/>
          <w:sz w:val="22"/>
          <w:szCs w:val="22"/>
          <w:lang w:val="id-ID" w:eastAsia="id-ID"/>
        </w:rPr>
        <w:fldChar w:fldCharType="separate"/>
      </w:r>
      <w:r w:rsidR="00A057BD" w:rsidRPr="006C251E">
        <w:rPr>
          <w:rFonts w:ascii="Palatino Linotype" w:eastAsia="Times New Roman" w:hAnsi="Palatino Linotype"/>
          <w:noProof/>
          <w:sz w:val="22"/>
          <w:szCs w:val="22"/>
          <w:lang w:val="id-ID" w:eastAsia="id-ID"/>
        </w:rPr>
        <w:t>(Susanto et al., 2023)</w:t>
      </w:r>
      <w:r w:rsidR="00A057BD" w:rsidRPr="006C251E">
        <w:rPr>
          <w:rFonts w:ascii="Palatino Linotype" w:eastAsia="Times New Roman" w:hAnsi="Palatino Linotype"/>
          <w:sz w:val="22"/>
          <w:szCs w:val="22"/>
          <w:lang w:val="id-ID" w:eastAsia="id-ID"/>
        </w:rPr>
        <w:fldChar w:fldCharType="end"/>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This involves identifying existing problems, collecting relevant data, and formulating a clear vision and mission. Good planning also includes establishing a timeline and the resources needed to implement the change. Effective communication is key to managing change. All parties involved</w:t>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teachers, students, parents, and administrative staff</w:t>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need to be provided with clear and transparent information about the reasons and goals of the change. Through various communication channels, such as meetings, newsletters, or social media, the administration must actively educate and involve all stakeholders so they feel part of the process. Stakeholder engagement is crucial to minimizing resistance to change. The administration should involve teachers and staff in the planning and decision-making process. By providing them with opportunities to contribute, they will feel a greater sense of ownership of the changes being implemented. Focus groups and workshops can also be held to hear input and concerns from all parties.</w:t>
      </w:r>
    </w:p>
    <w:p w14:paraId="1589D7CD" w14:textId="77777777"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 xml:space="preserve">Change often requires increased skills and knowledge for educators. Therefore, administrations need to provide relevant training programs to support teachers and staff in </w:t>
      </w:r>
      <w:r w:rsidRPr="006C251E">
        <w:rPr>
          <w:rFonts w:ascii="Palatino Linotype" w:eastAsia="Times New Roman" w:hAnsi="Palatino Linotype"/>
          <w:sz w:val="22"/>
          <w:szCs w:val="22"/>
          <w:lang w:val="id-ID" w:eastAsia="id-ID"/>
        </w:rPr>
        <w:lastRenderedPageBreak/>
        <w:t>navigating these changes. This training can take the form of workshops, seminars, or online learning programs designed to equip them with the necessary skills. Once changes are implemented, regular monitoring and evaluation are essential. Administrations should establish success indicators and collect data to assess the effectiveness of the changes. Through these evaluations, administrations can identify areas for improvement and adapt strategies according to emerging needs. Finally, building a positive culture within the educational environment is also an integral part of the administration's strategy for managing change. A supportive environment, where teachers and students feel valued and heard, will foster engagement and motivation. This can be achieved through recognition of achievement, emotional support, and the development of a strong community within the educational institution (Nata &amp; Media, 2019). By implementing these strategies, educational institutions can manage change more effectively, reduce resistance, and create a conducive learning environment. This process will not only improve the quality of education, but also strengthen the trust and commitment of all parties to the institution's vision and mission.</w:t>
      </w:r>
    </w:p>
    <w:p w14:paraId="6428951C" w14:textId="0E48F989"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Educational institutions that successfully manage change have a clear and structured plan. This plan includes change objectives, implementation steps, and a realistic schedule. The principal plays a crucial role in formulating this plan by involving teachers and staff in the decision-making process. Meanwhile, open and transparent communication is a key factor in reducing resistance to change. Institutions that regularly meet to discuss progress and provide updates on changes being implemented tend to have greater support from teachers and parents. The active involvement of all stakeholders</w:t>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including teachers, students, parents, and the community</w:t>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in the change process is crucial. Institutions that hold discussion forums and workshops to gather input from all parties can foster a sense of ownership and support for proposed changes.</w:t>
      </w:r>
    </w:p>
    <w:p w14:paraId="03ED3183" w14:textId="77777777"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Training programs offered to teachers to support change contribute significantly to successful implementation. Schools that provide regular training and support teacher professional development can help them feel more prepared and confident in navigating change. Ongoing monitoring and evaluation are crucial. Institutions that regularly assess the progress of change implementation and gather feedback from teachers and students can quickly identify problems and make necessary adjustments. A positive and supportive organizational culture significantly influences the success of change. Schools that foster an inclusive environment, where teachers and students feel valued and heard, demonstrate higher levels of success in managing change.</w:t>
      </w:r>
    </w:p>
    <w:p w14:paraId="3D911601" w14:textId="3B17B7F0"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An effective administrative strategy for managing change in educational institutions involves careful planning, transparent communication, stakeholder involvement, adequate training, and ongoing monitoring and evaluation</w:t>
      </w:r>
      <w:r w:rsidR="00EB786F">
        <w:rPr>
          <w:rFonts w:ascii="Palatino Linotype" w:eastAsia="Times New Roman" w:hAnsi="Palatino Linotype"/>
          <w:sz w:val="22"/>
          <w:szCs w:val="22"/>
          <w:lang w:val="id-ID" w:eastAsia="id-ID"/>
        </w:rPr>
        <w:t xml:space="preserve"> </w:t>
      </w:r>
      <w:r w:rsidR="00A057BD" w:rsidRPr="006C251E">
        <w:rPr>
          <w:rFonts w:ascii="Palatino Linotype" w:eastAsia="Times New Roman" w:hAnsi="Palatino Linotype"/>
          <w:sz w:val="22"/>
          <w:szCs w:val="22"/>
          <w:lang w:val="en-US" w:eastAsia="id-ID"/>
        </w:rPr>
        <w:fldChar w:fldCharType="begin" w:fldLock="1"/>
      </w:r>
      <w:r w:rsidR="00A057BD" w:rsidRPr="006C251E">
        <w:rPr>
          <w:rFonts w:ascii="Palatino Linotype" w:eastAsia="Times New Roman" w:hAnsi="Palatino Linotype"/>
          <w:sz w:val="22"/>
          <w:szCs w:val="22"/>
          <w:lang w:val="en-US" w:eastAsia="id-ID"/>
        </w:rPr>
        <w:instrText>ADDIN CSL_CITATION {"citationItems":[{"id":"ITEM-1","itemData":{"author":[{"dropping-particle":"","family":"Afriansyah","given":"Hade","non-dropping-particle":"","parse-names":false,"suffix":""}],"id":"ITEM-1","issued":{"date-parts":[["2019"]]},"publisher":"OSF","title":"Administrasi dan supervisi pendidikan","type":"article-journal"},"uris":["http://www.mendeley.com/documents/?uuid=344bdbc8-2f2a-4c63-9e15-3f3fd164545d"]}],"mendeley":{"formattedCitation":"(Afriansyah, 2019)","plainTextFormattedCitation":"(Afriansyah, 2019)","previouslyFormattedCitation":"(Afriansyah, 2019)"},"properties":{"noteIndex":0},"schema":"https://github.com/citation-style-language/schema/raw/master/csl-citation.json"}</w:instrText>
      </w:r>
      <w:r w:rsidR="00A057BD" w:rsidRPr="006C251E">
        <w:rPr>
          <w:rFonts w:ascii="Palatino Linotype" w:eastAsia="Times New Roman" w:hAnsi="Palatino Linotype"/>
          <w:sz w:val="22"/>
          <w:szCs w:val="22"/>
          <w:lang w:val="en-US" w:eastAsia="id-ID"/>
        </w:rPr>
        <w:fldChar w:fldCharType="separate"/>
      </w:r>
      <w:r w:rsidR="00A057BD" w:rsidRPr="006C251E">
        <w:rPr>
          <w:rFonts w:ascii="Palatino Linotype" w:eastAsia="Times New Roman" w:hAnsi="Palatino Linotype"/>
          <w:noProof/>
          <w:sz w:val="22"/>
          <w:szCs w:val="22"/>
          <w:lang w:val="en-US" w:eastAsia="id-ID"/>
        </w:rPr>
        <w:t>(Afriansyah, 2019)</w:t>
      </w:r>
      <w:r w:rsidR="00A057BD" w:rsidRPr="006C251E">
        <w:rPr>
          <w:rFonts w:ascii="Palatino Linotype" w:eastAsia="Times New Roman" w:hAnsi="Palatino Linotype"/>
          <w:sz w:val="22"/>
          <w:szCs w:val="22"/>
          <w:lang w:val="en-US" w:eastAsia="id-ID"/>
        </w:rPr>
        <w:fldChar w:fldCharType="end"/>
      </w:r>
      <w:r w:rsidR="00EB786F">
        <w:rPr>
          <w:rFonts w:ascii="Palatino Linotype" w:eastAsia="Times New Roman" w:hAnsi="Palatino Linotype"/>
          <w:sz w:val="22"/>
          <w:szCs w:val="22"/>
          <w:lang w:val="en-US" w:eastAsia="id-ID"/>
        </w:rPr>
        <w:t xml:space="preserve">. </w:t>
      </w:r>
      <w:r w:rsidRPr="006C251E">
        <w:rPr>
          <w:rFonts w:ascii="Palatino Linotype" w:eastAsia="Times New Roman" w:hAnsi="Palatino Linotype"/>
          <w:sz w:val="22"/>
          <w:szCs w:val="22"/>
          <w:lang w:val="id-ID" w:eastAsia="id-ID"/>
        </w:rPr>
        <w:t>Educational institutions that implement these strategies not only successfully manage change but also create a better learning environment for all involved. Recommendations for best practices and further research are also proposed to support the development of more innovative strategies for managing change in education.</w:t>
      </w:r>
    </w:p>
    <w:p w14:paraId="0205ECAC" w14:textId="77777777" w:rsidR="000177D3" w:rsidRPr="006C251E" w:rsidRDefault="000177D3" w:rsidP="000177D3">
      <w:pPr>
        <w:widowControl/>
        <w:spacing w:line="276" w:lineRule="auto"/>
        <w:jc w:val="both"/>
        <w:rPr>
          <w:rFonts w:ascii="Palatino Linotype" w:eastAsia="Times New Roman" w:hAnsi="Palatino Linotype"/>
          <w:b/>
          <w:bCs/>
          <w:sz w:val="22"/>
          <w:szCs w:val="22"/>
          <w:lang w:val="id-ID" w:eastAsia="id-ID"/>
        </w:rPr>
      </w:pPr>
      <w:r w:rsidRPr="006C251E">
        <w:rPr>
          <w:rFonts w:ascii="Palatino Linotype" w:eastAsia="Times New Roman" w:hAnsi="Palatino Linotype"/>
          <w:b/>
          <w:bCs/>
          <w:sz w:val="22"/>
          <w:szCs w:val="22"/>
          <w:lang w:val="id-ID" w:eastAsia="id-ID"/>
        </w:rPr>
        <w:lastRenderedPageBreak/>
        <w:t>Discussion</w:t>
      </w:r>
    </w:p>
    <w:p w14:paraId="385540D3" w14:textId="126C2C7F"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Most educational institutions that successfully manage change demonstrate a structured and systematic plan. This plan includes clear objectives, implementation steps, and appropriate resource allocation. For example, in some schools, principals collaborate with teachers to formulate concrete change plans, ensuring everyone understands their roles. Institutions that successfully manage change have an effective communication system. They hold regular meetings to inform all parties about progress and challenges. Interviews indicate that open communication fosters trust and support from teachers and parents. Education that involves all stakeholders</w:t>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teachers, students, parents, and the community</w:t>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in the change process tends to be more successful. Discussion forums and workshops are held to gather input, which helps foster a sense of ownership among all parties. Schools that provide appropriate training programs for teachers demonstrate positive results. Trained teachers feel more prepared and confident in navigating change, which impacts the quality of teaching and learning. Systematic monitoring and regular evaluation are integral to the change process.</w:t>
      </w:r>
    </w:p>
    <w:p w14:paraId="39A4BD4A" w14:textId="536D4CFB" w:rsidR="000177D3" w:rsidRPr="006C251E" w:rsidRDefault="000177D3" w:rsidP="000177D3">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Institutions that implement this system can quickly identify problems and make necessary adjustments. Using data to evaluate the impact of change has also been found to be a critical factor in successful implementation. An inclusive and supportive organizational culture enhances successful change management. Institutions that create an environment where teachers and students feel valued and heard are better able to navigate change. A supportive organizational culture is the foundation of all these strategies. Institutions that create a positive environment are not only better prepared for change but also more innovative and adaptive</w:t>
      </w:r>
      <w:r w:rsidR="00EB786F">
        <w:rPr>
          <w:rFonts w:ascii="Palatino Linotype" w:eastAsia="Times New Roman" w:hAnsi="Palatino Linotype"/>
          <w:sz w:val="22"/>
          <w:szCs w:val="22"/>
          <w:lang w:val="id-ID" w:eastAsia="id-ID"/>
        </w:rPr>
        <w:t xml:space="preserve"> </w:t>
      </w:r>
      <w:r w:rsidR="00A057BD" w:rsidRPr="006C251E">
        <w:rPr>
          <w:rFonts w:ascii="Palatino Linotype" w:eastAsia="Times New Roman" w:hAnsi="Palatino Linotype"/>
          <w:sz w:val="22"/>
          <w:szCs w:val="22"/>
          <w:lang w:val="en-US" w:eastAsia="id-ID"/>
        </w:rPr>
        <w:fldChar w:fldCharType="begin" w:fldLock="1"/>
      </w:r>
      <w:r w:rsidR="00A057BD" w:rsidRPr="006C251E">
        <w:rPr>
          <w:rFonts w:ascii="Palatino Linotype" w:eastAsia="Times New Roman" w:hAnsi="Palatino Linotype"/>
          <w:sz w:val="22"/>
          <w:szCs w:val="22"/>
          <w:lang w:val="en-US" w:eastAsia="id-ID"/>
        </w:rPr>
        <w:instrText>ADDIN CSL_CITATION {"citationItems":[{"id":"ITEM-1","itemData":{"abstract":"Blended learning merupakan salah satu model pembelajaran inovatif yang mengintegrasikan teknologi sesuai dengan tuntutan pembelajaran abad ke-21 dan relevan dengan pembelajaran masa covid-19, namun di Indonesia khususnya Sekolah Dasar belum banyak yang mengimplementasikan model pembelajaran blended learning bahkan guru ada yang belum mengetahui model pembelajaran ini. Penelitian ini bertujuan untuk mendeskripsikan implementasi pembelajaran blended learning dan pengaruhnya terhadap peserta didik sehingga guru di Sekolah Dasar dapat tertarik untuk mengembangkan serta menerapkan model pembelajaran Blended Learning di sekolahnya. Metode yang digunakan adalah tinjauan Pustaka sistematis. Hasil pengumpulan 30 artikel tentang blended learning di berbagai jenjang pendidikan, peneliti melakukan reduksi artikel agar literature review sesuai dengan topik yang dimuat pada artikel ini. Reduksi yang dilakukan peneliti adalah memilih artikel dan prosiding dengan beberapa kriteria sehingga didapatkan 10 artikel. Artikel yang terkumpul adalah 5 artikel nasional dan 5 artikel internasional. Langkah selanjutnya peneliti mereview artikel yang telah dikumpulkan serta direduksi sesuai kriteria yang ditentukan. Berdasarkan hasil penelitian diperoleh Pembelajaran blended learning dapat diterapkan di sekolah dasar dengan cara offline ataupun hybrid learning. Pembelajaran dengan online dapat dilakukan dengan menggunakan berbagai macam platform online seperti portal rumah belajar, google classroom, Edmodo, web, kipin school dan sebagainya.","author":[{"dropping-particle":"","family":"Mardianto","given":"Mardianto","non-dropping-particle":"","parse-names":false,"suffix":""},{"dropping-particle":"","family":"Tanjung","given":"Lidra Agustina","non-dropping-particle":"","parse-names":false,"suffix":""},{"dropping-particle":"","family":"Nasution","given":"Fahri Agung","non-dropping-particle":"","parse-names":false,"suffix":""},{"dropping-particle":"","family":"Harahap","given":"Fiki Robi Handoko","non-dropping-particle":"","parse-names":false,"suffix":""},{"dropping-particle":"","family":"Siregar","given":"Vera Yunita","non-dropping-particle":"","parse-names":false,"suffix":""},{"dropping-particle":"","family":"Rewita","given":"Silvi","non-dropping-particle":"","parse-names":false,"suffix":""},{"dropping-particle":"","family":"Akbar","given":"Sabila","non-dropping-particle":"","parse-names":false,"suffix":""}],"container-title":"Jurnal Basicedu","id":"ITEM-1","issue":"2","issued":{"date-parts":[["2023"]]},"page":"1209-1216","title":"The Strategy of Islamic Religious Education Teachers in Fostering Student Morals at Elementary School","type":"article-journal","volume":"7"},"uris":["http://www.mendeley.com/documents/?uuid=d0fbd1d5-9f64-4ded-bffe-39377235a6f3"]}],"mendeley":{"formattedCitation":"(Mardianto et al., 2023)","plainTextFormattedCitation":"(Mardianto et al., 2023)","previouslyFormattedCitation":"(Mardianto et al., 2023)"},"properties":{"noteIndex":0},"schema":"https://github.com/citation-style-language/schema/raw/master/csl-citation.json"}</w:instrText>
      </w:r>
      <w:r w:rsidR="00A057BD" w:rsidRPr="006C251E">
        <w:rPr>
          <w:rFonts w:ascii="Palatino Linotype" w:eastAsia="Times New Roman" w:hAnsi="Palatino Linotype"/>
          <w:sz w:val="22"/>
          <w:szCs w:val="22"/>
          <w:lang w:val="en-US" w:eastAsia="id-ID"/>
        </w:rPr>
        <w:fldChar w:fldCharType="separate"/>
      </w:r>
      <w:r w:rsidR="00A057BD" w:rsidRPr="006C251E">
        <w:rPr>
          <w:rFonts w:ascii="Palatino Linotype" w:eastAsia="Times New Roman" w:hAnsi="Palatino Linotype"/>
          <w:noProof/>
          <w:sz w:val="22"/>
          <w:szCs w:val="22"/>
          <w:lang w:val="en-US" w:eastAsia="id-ID"/>
        </w:rPr>
        <w:t>(Mardianto et al., 2023)</w:t>
      </w:r>
      <w:r w:rsidR="00A057BD" w:rsidRPr="006C251E">
        <w:rPr>
          <w:rFonts w:ascii="Palatino Linotype" w:eastAsia="Times New Roman" w:hAnsi="Palatino Linotype"/>
          <w:sz w:val="22"/>
          <w:szCs w:val="22"/>
          <w:lang w:val="en-US" w:eastAsia="id-ID"/>
        </w:rPr>
        <w:fldChar w:fldCharType="end"/>
      </w:r>
      <w:r w:rsidRPr="006C251E">
        <w:rPr>
          <w:rFonts w:ascii="Palatino Linotype" w:eastAsia="Times New Roman" w:hAnsi="Palatino Linotype"/>
          <w:sz w:val="22"/>
          <w:szCs w:val="22"/>
          <w:lang w:val="id-ID" w:eastAsia="id-ID"/>
        </w:rPr>
        <w:t>. A good culture encourages collaboration and creativity, two important elements in change management.</w:t>
      </w:r>
    </w:p>
    <w:p w14:paraId="7FFE9A2B" w14:textId="1AE26991" w:rsidR="00A118CB" w:rsidRPr="006C251E" w:rsidRDefault="00A118CB" w:rsidP="00BC7139">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These findings indicate that the success of change management in educational institutions is determined not only by the existence of systematic planning, but also by the leadership's ability to build communication, participation, competency development, and an adaptive organizational culture. Change planning that involves various stakeholders from the outset can reduce resistance and increase ownership of the program. This aligns with research.</w:t>
      </w:r>
      <w:r w:rsidR="00EB786F">
        <w:rPr>
          <w:rFonts w:ascii="Palatino Linotype" w:eastAsia="Times New Roman" w:hAnsi="Palatino Linotype"/>
          <w:sz w:val="22"/>
          <w:szCs w:val="22"/>
          <w:lang w:val="id-ID" w:eastAsia="id-ID"/>
        </w:rPr>
        <w:t xml:space="preserve"> </w:t>
      </w:r>
      <w:r w:rsidR="00A057BD" w:rsidRPr="006C251E">
        <w:rPr>
          <w:rFonts w:ascii="Palatino Linotype" w:eastAsia="Times New Roman" w:hAnsi="Palatino Linotype"/>
          <w:sz w:val="22"/>
          <w:szCs w:val="22"/>
          <w:lang w:val="id-ID" w:eastAsia="id-ID"/>
        </w:rPr>
        <w:fldChar w:fldCharType="begin" w:fldLock="1"/>
      </w:r>
      <w:r w:rsidR="00A057BD" w:rsidRPr="006C251E">
        <w:rPr>
          <w:rFonts w:ascii="Palatino Linotype" w:eastAsia="Times New Roman" w:hAnsi="Palatino Linotype"/>
          <w:sz w:val="22"/>
          <w:szCs w:val="22"/>
          <w:lang w:val="id-ID" w:eastAsia="id-ID"/>
        </w:rPr>
        <w:instrText>ADDIN CSL_CITATION {"citationItems":[{"id":"ITEM-1","itemData":{"ISSN":"2723-7079","author":[{"dropping-particle":"","family":"Syafitri","given":"Verdania Puri","non-dropping-particle":"","parse-names":false,"suffix":""},{"dropping-particle":"","family":"Toni","given":"Ahmad","non-dropping-particle":"","parse-names":false,"suffix":""}],"container-title":"Jurnal Indonesia: Manajemen Informatika Dan Komunikasi","id":"ITEM-1","issue":"2","issued":{"date-parts":[["2024"]]},"page":"1602-1610","title":"Komunikasi organisasi dalam proses pembentukan budaya organisasi melalui agent of change","type":"article-journal","volume":"5"},"uris":["http://www.mendeley.com/documents/?uuid=8c50b1f0-8e92-41a8-852a-2c1c90511e0a"]}],"mendeley":{"formattedCitation":"(Syafitri &amp; Toni, 2024)","plainTextFormattedCitation":"(Syafitri &amp; Toni, 2024)","previouslyFormattedCitation":"(Syafitri &amp; Toni, 2024)"},"properties":{"noteIndex":0},"schema":"https://github.com/citation-style-language/schema/raw/master/csl-citation.json"}</w:instrText>
      </w:r>
      <w:r w:rsidR="00A057BD" w:rsidRPr="006C251E">
        <w:rPr>
          <w:rFonts w:ascii="Palatino Linotype" w:eastAsia="Times New Roman" w:hAnsi="Palatino Linotype"/>
          <w:sz w:val="22"/>
          <w:szCs w:val="22"/>
          <w:lang w:val="id-ID" w:eastAsia="id-ID"/>
        </w:rPr>
        <w:fldChar w:fldCharType="separate"/>
      </w:r>
      <w:r w:rsidR="00A057BD" w:rsidRPr="006C251E">
        <w:rPr>
          <w:rFonts w:ascii="Palatino Linotype" w:eastAsia="Times New Roman" w:hAnsi="Palatino Linotype"/>
          <w:noProof/>
          <w:sz w:val="22"/>
          <w:szCs w:val="22"/>
          <w:lang w:val="id-ID" w:eastAsia="id-ID"/>
        </w:rPr>
        <w:t xml:space="preserve">Syafitri &amp; Toni, </w:t>
      </w:r>
      <w:r w:rsidR="00EB786F">
        <w:rPr>
          <w:rFonts w:ascii="Palatino Linotype" w:eastAsia="Times New Roman" w:hAnsi="Palatino Linotype"/>
          <w:noProof/>
          <w:sz w:val="22"/>
          <w:szCs w:val="22"/>
          <w:lang w:val="id-ID" w:eastAsia="id-ID"/>
        </w:rPr>
        <w:t>(</w:t>
      </w:r>
      <w:r w:rsidR="00A057BD" w:rsidRPr="006C251E">
        <w:rPr>
          <w:rFonts w:ascii="Palatino Linotype" w:eastAsia="Times New Roman" w:hAnsi="Palatino Linotype"/>
          <w:noProof/>
          <w:sz w:val="22"/>
          <w:szCs w:val="22"/>
          <w:lang w:val="id-ID" w:eastAsia="id-ID"/>
        </w:rPr>
        <w:t>2024)</w:t>
      </w:r>
      <w:r w:rsidR="00A057BD" w:rsidRPr="006C251E">
        <w:rPr>
          <w:rFonts w:ascii="Palatino Linotype" w:eastAsia="Times New Roman" w:hAnsi="Palatino Linotype"/>
          <w:sz w:val="22"/>
          <w:szCs w:val="22"/>
          <w:lang w:val="id-ID" w:eastAsia="id-ID"/>
        </w:rPr>
        <w:fldChar w:fldCharType="end"/>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which emphasizes the importance of building a change coalition, consistently communicating the vision, and involving organizational members in the change process. In the educational context, these findings also strengthen the results of research</w:t>
      </w:r>
      <w:r w:rsidR="00EB786F">
        <w:rPr>
          <w:rFonts w:ascii="Palatino Linotype" w:eastAsia="Times New Roman" w:hAnsi="Palatino Linotype"/>
          <w:sz w:val="22"/>
          <w:szCs w:val="22"/>
          <w:lang w:val="id-ID" w:eastAsia="id-ID"/>
        </w:rPr>
        <w:t xml:space="preserve"> </w:t>
      </w:r>
      <w:r w:rsidR="00A057BD" w:rsidRPr="006C251E">
        <w:rPr>
          <w:rFonts w:ascii="Palatino Linotype" w:eastAsia="Times New Roman" w:hAnsi="Palatino Linotype"/>
          <w:sz w:val="22"/>
          <w:szCs w:val="22"/>
          <w:lang w:val="id-ID" w:eastAsia="id-ID"/>
        </w:rPr>
        <w:fldChar w:fldCharType="begin" w:fldLock="1"/>
      </w:r>
      <w:r w:rsidR="00A057BD" w:rsidRPr="006C251E">
        <w:rPr>
          <w:rFonts w:ascii="Palatino Linotype" w:eastAsia="Times New Roman" w:hAnsi="Palatino Linotype"/>
          <w:sz w:val="22"/>
          <w:szCs w:val="22"/>
          <w:lang w:val="id-ID" w:eastAsia="id-ID"/>
        </w:rPr>
        <w:instrText>ADDIN CSL_CITATION {"citationItems":[{"id":"ITEM-1","itemData":{"ISSN":"2723-4665","author":[{"dropping-particle":"","family":"Sahra","given":"Ai Patimah","non-dropping-particle":"","parse-names":false,"suffix":""},{"dropping-particle":"","family":"Komalasari","given":"Kokom","non-dropping-particle":"","parse-names":false,"suffix":""},{"dropping-particle":"","family":"Kayyis","given":"Ika Ismail","non-dropping-particle":"","parse-names":false,"suffix":""},{"dropping-particle":"","family":"Andrian","given":"Muhamad","non-dropping-particle":"","parse-names":false,"suffix":""},{"dropping-particle":"","family":"Iskandar","given":"Sofyan","non-dropping-particle":"","parse-names":false,"suffix":""}],"container-title":"Jurnal Ilmiah Global Education","id":"ITEM-1","issue":"2","issued":{"date-parts":[["2025"]]},"page":"313-322","title":"Evaluasi manajemen sekolah dasar studi kasus dalam menantang paradigma konvensional dan menciptakan inovasi pendidikan berkelanjutan","type":"article-journal","volume":"6"},"uris":["http://www.mendeley.com/documents/?uuid=04664e8e-1a30-4e79-883f-52cf1a055064"]}],"mendeley":{"formattedCitation":"(Sahra et al., 2025)","plainTextFormattedCitation":"(Sahra et al., 2025)","previouslyFormattedCitation":"(Sahra et al., 2025)"},"properties":{"noteIndex":0},"schema":"https://github.com/citation-style-language/schema/raw/master/csl-citation.json"}</w:instrText>
      </w:r>
      <w:r w:rsidR="00A057BD" w:rsidRPr="006C251E">
        <w:rPr>
          <w:rFonts w:ascii="Palatino Linotype" w:eastAsia="Times New Roman" w:hAnsi="Palatino Linotype"/>
          <w:sz w:val="22"/>
          <w:szCs w:val="22"/>
          <w:lang w:val="id-ID" w:eastAsia="id-ID"/>
        </w:rPr>
        <w:fldChar w:fldCharType="separate"/>
      </w:r>
      <w:r w:rsidR="00A057BD" w:rsidRPr="006C251E">
        <w:rPr>
          <w:rFonts w:ascii="Palatino Linotype" w:eastAsia="Times New Roman" w:hAnsi="Palatino Linotype"/>
          <w:noProof/>
          <w:sz w:val="22"/>
          <w:szCs w:val="22"/>
          <w:lang w:val="id-ID" w:eastAsia="id-ID"/>
        </w:rPr>
        <w:t>(Sahra et al., 2025)</w:t>
      </w:r>
      <w:r w:rsidR="00A057BD" w:rsidRPr="006C251E">
        <w:rPr>
          <w:rFonts w:ascii="Palatino Linotype" w:eastAsia="Times New Roman" w:hAnsi="Palatino Linotype"/>
          <w:sz w:val="22"/>
          <w:szCs w:val="22"/>
          <w:lang w:val="id-ID" w:eastAsia="id-ID"/>
        </w:rPr>
        <w:fldChar w:fldCharType="end"/>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This demonstrates that sustainable educational change requires leadership capable of building teacher capacity, fostering collaboration, and developing a school culture that supports innovation. Therefore, the success of change depends not simply on the policies established by the principal or other institutional leaders, but on the ability of all members of the institution to understand, accept, and implement change collaboratively.</w:t>
      </w:r>
    </w:p>
    <w:p w14:paraId="656D5F1A" w14:textId="52CD610D" w:rsidR="00A118CB" w:rsidRPr="006C251E" w:rsidRDefault="00A118CB" w:rsidP="00A118CB">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Furthermore, the research findings show that monitoring, data-driven evaluation, and the development of an inclusive organizational culture are important factors in ensuring the sustainability of change. These findings align with research</w:t>
      </w:r>
      <w:r w:rsidR="00EB786F">
        <w:rPr>
          <w:rFonts w:ascii="Palatino Linotype" w:eastAsia="Times New Roman" w:hAnsi="Palatino Linotype"/>
          <w:sz w:val="22"/>
          <w:szCs w:val="22"/>
          <w:lang w:val="id-ID" w:eastAsia="id-ID"/>
        </w:rPr>
        <w:t xml:space="preserve"> </w:t>
      </w:r>
      <w:r w:rsidR="00A057BD" w:rsidRPr="006C251E">
        <w:rPr>
          <w:rFonts w:ascii="Palatino Linotype" w:eastAsia="Times New Roman" w:hAnsi="Palatino Linotype"/>
          <w:sz w:val="22"/>
          <w:szCs w:val="22"/>
          <w:lang w:val="id-ID" w:eastAsia="id-ID"/>
        </w:rPr>
        <w:fldChar w:fldCharType="begin" w:fldLock="1"/>
      </w:r>
      <w:r w:rsidR="00A057BD" w:rsidRPr="006C251E">
        <w:rPr>
          <w:rFonts w:ascii="Palatino Linotype" w:eastAsia="Times New Roman" w:hAnsi="Palatino Linotype"/>
          <w:sz w:val="22"/>
          <w:szCs w:val="22"/>
          <w:lang w:val="id-ID" w:eastAsia="id-ID"/>
        </w:rPr>
        <w:instrText>ADDIN CSL_CITATION {"citationItems":[{"id":"ITEM-1","itemData":{"ISSN":"2548-6950","author":[{"dropping-particle":"","family":"Sumarlin","given":"Iwan","non-dropping-particle":"","parse-names":false,"suffix":""},{"dropping-particle":"","family":"Laniar","given":"Heti","non-dropping-particle":"","parse-names":false,"suffix":""}],"container-title":"Pendas: Jurnal Ilmiah Pendidikan Dasar","id":"ITEM-1","issue":"04","issued":{"date-parts":[["2025"]]},"page":"276-294","title":"Upaya pengembangan profesionalisme guru dalam meningkatkan mutu pembelajaran","type":"article-journal","volume":"10"},"uris":["http://www.mendeley.com/documents/?uuid=c4674399-a37d-4e22-afda-55aab3bf3cae"]}],"mendeley":{"formattedCitation":"(Sumarlin &amp; Laniar, 2025)","plainTextFormattedCitation":"(Sumarlin &amp; Laniar, 2025)","previouslyFormattedCitation":"(Sumarlin &amp; Laniar, 2025)"},"properties":{"noteIndex":0},"schema":"https://github.com/citation-style-language/schema/raw/master/csl-citation.json"}</w:instrText>
      </w:r>
      <w:r w:rsidR="00A057BD" w:rsidRPr="006C251E">
        <w:rPr>
          <w:rFonts w:ascii="Palatino Linotype" w:eastAsia="Times New Roman" w:hAnsi="Palatino Linotype"/>
          <w:sz w:val="22"/>
          <w:szCs w:val="22"/>
          <w:lang w:val="id-ID" w:eastAsia="id-ID"/>
        </w:rPr>
        <w:fldChar w:fldCharType="separate"/>
      </w:r>
      <w:r w:rsidR="00A057BD" w:rsidRPr="006C251E">
        <w:rPr>
          <w:rFonts w:ascii="Palatino Linotype" w:eastAsia="Times New Roman" w:hAnsi="Palatino Linotype"/>
          <w:noProof/>
          <w:sz w:val="22"/>
          <w:szCs w:val="22"/>
          <w:lang w:val="id-ID" w:eastAsia="id-ID"/>
        </w:rPr>
        <w:t>(Sumarlin &amp; Laniar, 2025)</w:t>
      </w:r>
      <w:r w:rsidR="00A057BD" w:rsidRPr="006C251E">
        <w:rPr>
          <w:rFonts w:ascii="Palatino Linotype" w:eastAsia="Times New Roman" w:hAnsi="Palatino Linotype"/>
          <w:sz w:val="22"/>
          <w:szCs w:val="22"/>
          <w:lang w:val="id-ID" w:eastAsia="id-ID"/>
        </w:rPr>
        <w:fldChar w:fldCharType="end"/>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 xml:space="preserve">which places the development of teachers' professional capacity and collaborative culture as </w:t>
      </w:r>
      <w:r w:rsidRPr="006C251E">
        <w:rPr>
          <w:rFonts w:ascii="Palatino Linotype" w:eastAsia="Times New Roman" w:hAnsi="Palatino Linotype"/>
          <w:sz w:val="22"/>
          <w:szCs w:val="22"/>
          <w:lang w:val="id-ID" w:eastAsia="id-ID"/>
        </w:rPr>
        <w:lastRenderedPageBreak/>
        <w:t>important foundations for improving the quality of education.</w:t>
      </w:r>
      <w:r w:rsidR="00EB786F">
        <w:rPr>
          <w:rFonts w:ascii="Palatino Linotype" w:eastAsia="Times New Roman" w:hAnsi="Palatino Linotype"/>
          <w:sz w:val="22"/>
          <w:szCs w:val="22"/>
          <w:lang w:val="id-ID" w:eastAsia="id-ID"/>
        </w:rPr>
        <w:t xml:space="preserve"> </w:t>
      </w:r>
      <w:r w:rsidR="00A057BD" w:rsidRPr="006C251E">
        <w:rPr>
          <w:rFonts w:ascii="Palatino Linotype" w:eastAsia="Times New Roman" w:hAnsi="Palatino Linotype"/>
          <w:sz w:val="22"/>
          <w:szCs w:val="22"/>
          <w:lang w:val="id-ID" w:eastAsia="id-ID"/>
        </w:rPr>
        <w:fldChar w:fldCharType="begin" w:fldLock="1"/>
      </w:r>
      <w:r w:rsidR="00A057BD" w:rsidRPr="006C251E">
        <w:rPr>
          <w:rFonts w:ascii="Palatino Linotype" w:eastAsia="Times New Roman" w:hAnsi="Palatino Linotype"/>
          <w:sz w:val="22"/>
          <w:szCs w:val="22"/>
          <w:lang w:val="id-ID" w:eastAsia="id-ID"/>
        </w:rPr>
        <w:instrText>ADDIN CSL_CITATION {"citationItems":[{"id":"ITEM-1","itemData":{"ISSN":"3026-2917","author":[{"dropping-particle":"","family":"Satriadi","given":"Tri Inayah","non-dropping-particle":"","parse-names":false,"suffix":""},{"dropping-particle":"","family":"Tanrere","given":"Syamsul Bahri","non-dropping-particle":"","parse-names":false,"suffix":""},{"dropping-particle":"","family":"Zuhri","given":"Saefuddin","non-dropping-particle":"","parse-names":false,"suffix":""}],"container-title":"Al-Zayn: Jurnal Ilmu Sosial &amp; Hukum","id":"ITEM-1","issue":"2","issued":{"date-parts":[["2026"]]},"page":"4458-4470","title":"Kompetensi Manajerial Kepala Madrasah dalam Meningkatkan Mutu Pendidikan Pada Madrasah Tsanawiyah Darussalam Pangkalpinang","type":"article-journal","volume":"4"},"uris":["http://www.mendeley.com/documents/?uuid=a98c64bf-12ec-4c32-9d24-cc20142abf0e"]}],"mendeley":{"formattedCitation":"(Satriadi et al., 2026)","plainTextFormattedCitation":"(Satriadi et al., 2026)","previouslyFormattedCitation":"(Satriadi et al., 2026)"},"properties":{"noteIndex":0},"schema":"https://github.com/citation-style-language/schema/raw/master/csl-citation.json"}</w:instrText>
      </w:r>
      <w:r w:rsidR="00A057BD" w:rsidRPr="006C251E">
        <w:rPr>
          <w:rFonts w:ascii="Palatino Linotype" w:eastAsia="Times New Roman" w:hAnsi="Palatino Linotype"/>
          <w:sz w:val="22"/>
          <w:szCs w:val="22"/>
          <w:lang w:val="id-ID" w:eastAsia="id-ID"/>
        </w:rPr>
        <w:fldChar w:fldCharType="separate"/>
      </w:r>
      <w:r w:rsidR="00A057BD" w:rsidRPr="006C251E">
        <w:rPr>
          <w:rFonts w:ascii="Palatino Linotype" w:eastAsia="Times New Roman" w:hAnsi="Palatino Linotype"/>
          <w:noProof/>
          <w:sz w:val="22"/>
          <w:szCs w:val="22"/>
          <w:lang w:val="id-ID" w:eastAsia="id-ID"/>
        </w:rPr>
        <w:t xml:space="preserve">Satriadi et al., </w:t>
      </w:r>
      <w:r w:rsidR="00EB786F">
        <w:rPr>
          <w:rFonts w:ascii="Palatino Linotype" w:eastAsia="Times New Roman" w:hAnsi="Palatino Linotype"/>
          <w:noProof/>
          <w:sz w:val="22"/>
          <w:szCs w:val="22"/>
          <w:lang w:val="id-ID" w:eastAsia="id-ID"/>
        </w:rPr>
        <w:t>(</w:t>
      </w:r>
      <w:r w:rsidR="00A057BD" w:rsidRPr="006C251E">
        <w:rPr>
          <w:rFonts w:ascii="Palatino Linotype" w:eastAsia="Times New Roman" w:hAnsi="Palatino Linotype"/>
          <w:noProof/>
          <w:sz w:val="22"/>
          <w:szCs w:val="22"/>
          <w:lang w:val="id-ID" w:eastAsia="id-ID"/>
        </w:rPr>
        <w:t>2026)</w:t>
      </w:r>
      <w:r w:rsidR="00A057BD" w:rsidRPr="006C251E">
        <w:rPr>
          <w:rFonts w:ascii="Palatino Linotype" w:eastAsia="Times New Roman" w:hAnsi="Palatino Linotype"/>
          <w:sz w:val="22"/>
          <w:szCs w:val="22"/>
          <w:lang w:val="id-ID" w:eastAsia="id-ID"/>
        </w:rPr>
        <w:fldChar w:fldCharType="end"/>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also shows that effective educational leadership plays a role in directing the change process through teacher development, monitoring learning, and creating organizational conditions that support continuous quality improvement. Meanwhile, research</w:t>
      </w:r>
      <w:r w:rsidR="00EB786F">
        <w:rPr>
          <w:rFonts w:ascii="Palatino Linotype" w:eastAsia="Times New Roman" w:hAnsi="Palatino Linotype"/>
          <w:sz w:val="22"/>
          <w:szCs w:val="22"/>
          <w:lang w:val="id-ID" w:eastAsia="id-ID"/>
        </w:rPr>
        <w:t xml:space="preserve"> </w:t>
      </w:r>
      <w:r w:rsidR="00A057BD" w:rsidRPr="006C251E">
        <w:rPr>
          <w:rFonts w:ascii="Palatino Linotype" w:eastAsia="Times New Roman" w:hAnsi="Palatino Linotype"/>
          <w:sz w:val="22"/>
          <w:szCs w:val="22"/>
          <w:lang w:val="id-ID" w:eastAsia="id-ID"/>
        </w:rPr>
        <w:fldChar w:fldCharType="begin" w:fldLock="1"/>
      </w:r>
      <w:r w:rsidR="00A057BD" w:rsidRPr="006C251E">
        <w:rPr>
          <w:rFonts w:ascii="Palatino Linotype" w:eastAsia="Times New Roman" w:hAnsi="Palatino Linotype"/>
          <w:sz w:val="22"/>
          <w:szCs w:val="22"/>
          <w:lang w:val="id-ID" w:eastAsia="id-ID"/>
        </w:rPr>
        <w:instrText>ADDIN CSL_CITATION {"citationItems":[{"id":"ITEM-1","itemData":{"ISSN":"2548-6950","author":[{"dropping-particle":"","family":"Lutfiartha","given":"Hansen","non-dropping-particle":"","parse-names":false,"suffix":""},{"dropping-particle":"","family":"Miyono","given":"Noor","non-dropping-particle":"","parse-names":false,"suffix":""}],"container-title":"Pendas: Jurnal Ilmiah Pendidikan Dasar","id":"ITEM-1","issue":"01","issued":{"date-parts":[["2025"]]},"page":"1028-1039","title":"Peran Kepemimpinan Kepala Sekolah Dalam Membentuk Iklim Dan Budaya Organisasi Di Sdn 04 Tegalsari Kabupaten Pemalang","type":"article-journal","volume":"10"},"uris":["http://www.mendeley.com/documents/?uuid=72b7a8e0-b603-46ba-934c-9928acc201a8"]}],"mendeley":{"formattedCitation":"(Lutfiartha &amp; Miyono, 2025)","plainTextFormattedCitation":"(Lutfiartha &amp; Miyono, 2025)","previouslyFormattedCitation":"(Lutfiartha &amp; Miyono, 2025)"},"properties":{"noteIndex":0},"schema":"https://github.com/citation-style-language/schema/raw/master/csl-citation.json"}</w:instrText>
      </w:r>
      <w:r w:rsidR="00A057BD" w:rsidRPr="006C251E">
        <w:rPr>
          <w:rFonts w:ascii="Palatino Linotype" w:eastAsia="Times New Roman" w:hAnsi="Palatino Linotype"/>
          <w:sz w:val="22"/>
          <w:szCs w:val="22"/>
          <w:lang w:val="id-ID" w:eastAsia="id-ID"/>
        </w:rPr>
        <w:fldChar w:fldCharType="separate"/>
      </w:r>
      <w:r w:rsidR="00A057BD" w:rsidRPr="006C251E">
        <w:rPr>
          <w:rFonts w:ascii="Palatino Linotype" w:eastAsia="Times New Roman" w:hAnsi="Palatino Linotype"/>
          <w:noProof/>
          <w:sz w:val="22"/>
          <w:szCs w:val="22"/>
          <w:lang w:val="id-ID" w:eastAsia="id-ID"/>
        </w:rPr>
        <w:t>(Lutfiartha &amp; Miyono, 2025)</w:t>
      </w:r>
      <w:r w:rsidR="00A057BD" w:rsidRPr="006C251E">
        <w:rPr>
          <w:rFonts w:ascii="Palatino Linotype" w:eastAsia="Times New Roman" w:hAnsi="Palatino Linotype"/>
          <w:sz w:val="22"/>
          <w:szCs w:val="22"/>
          <w:lang w:val="id-ID" w:eastAsia="id-ID"/>
        </w:rPr>
        <w:fldChar w:fldCharType="end"/>
      </w:r>
      <w:r w:rsidR="00EB786F">
        <w:rPr>
          <w:rFonts w:ascii="Palatino Linotype" w:eastAsia="Times New Roman" w:hAnsi="Palatino Linotype"/>
          <w:sz w:val="22"/>
          <w:szCs w:val="22"/>
          <w:lang w:val="id-ID" w:eastAsia="id-ID"/>
        </w:rPr>
        <w:t xml:space="preserve"> </w:t>
      </w:r>
      <w:r w:rsidRPr="006C251E">
        <w:rPr>
          <w:rFonts w:ascii="Palatino Linotype" w:eastAsia="Times New Roman" w:hAnsi="Palatino Linotype"/>
          <w:sz w:val="22"/>
          <w:szCs w:val="22"/>
          <w:lang w:val="id-ID" w:eastAsia="id-ID"/>
        </w:rPr>
        <w:t>emphasizes that effective school leadership can influence educational outcomes by creating positive organizational conditions, fostering teacher professional development, and strengthening shared commitment to school goals. Thus, the results of this study confirm that effective change management is a cyclical process, beginning with clear planning, implemented through communication and collaboration, reinforced through training and professional support, and then controlled through data-based monitoring and evaluation. This pattern ultimately creates an organizational culture that is more open, innovative, and adaptive to the demands of educational change.</w:t>
      </w:r>
    </w:p>
    <w:p w14:paraId="2FE64F79" w14:textId="77777777" w:rsidR="00BC7139" w:rsidRPr="006C251E" w:rsidRDefault="00BC7139" w:rsidP="00A118CB">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The novelty of this research lies in its understanding of change management in educational institutions as an integrative, participatory, and sustainable process through the interconnectedness of systematic planning, open communication, stakeholder engagement, teacher competency development, data-driven monitoring and evaluation, and an inclusive and supportive organizational culture. Unlike previous research that tends to focus on the aspects of leadership, planning, or policy implementation separately, this study shows that the success of change is determined by the synergy between these components. These findings confirm that a supportive organizational culture is the foundation for sustainable change because it can build a sense of ownership, increase collaboration, encourage innovation, and strengthen the institution's ability to adapt to the demands of educational change.</w:t>
      </w:r>
    </w:p>
    <w:p w14:paraId="3183A56E" w14:textId="77777777" w:rsidR="000177D3" w:rsidRPr="006C251E" w:rsidRDefault="006B1D35" w:rsidP="00081CB2">
      <w:pPr>
        <w:widowControl/>
        <w:spacing w:line="276" w:lineRule="auto"/>
        <w:ind w:firstLine="720"/>
        <w:jc w:val="both"/>
        <w:rPr>
          <w:rFonts w:ascii="Palatino Linotype" w:eastAsia="Times New Roman" w:hAnsi="Palatino Linotype"/>
          <w:sz w:val="22"/>
          <w:szCs w:val="22"/>
          <w:lang w:val="id-ID" w:eastAsia="id-ID"/>
        </w:rPr>
      </w:pPr>
      <w:r w:rsidRPr="006C251E">
        <w:rPr>
          <w:rFonts w:ascii="Palatino Linotype" w:eastAsia="Times New Roman" w:hAnsi="Palatino Linotype"/>
          <w:sz w:val="22"/>
          <w:szCs w:val="22"/>
          <w:lang w:val="id-ID" w:eastAsia="id-ID"/>
        </w:rPr>
        <w:t>This study has limitations, particularly in the context and research approach used, so the findings cannot be broadly generalized to all educational institutions with different characteristics. Data obtained through interviews, observations, and documentation also depend heavily on the openness of informants and the researcher's interpretation, so subjectivity remains possible despite efforts to increase data credibility. Furthermore, the study has not quantitatively measured the influence of each aspect of change management, such as planning, communication, training, monitoring, evaluation, and organizational culture, on improving educational quality and has not observed the long-term impact of change. Therefore, further research is recommended to use a mixed methods or longitudinal approach to examine the relationships between variables in a more measurable manner and produce a change management model that can be applied to a more diverse educational institution context.</w:t>
      </w:r>
    </w:p>
    <w:p w14:paraId="226E49F3" w14:textId="77777777" w:rsidR="000177D3" w:rsidRPr="006C251E" w:rsidRDefault="000177D3" w:rsidP="00EB786F">
      <w:pPr>
        <w:widowControl/>
        <w:spacing w:before="120" w:after="120" w:line="276" w:lineRule="auto"/>
        <w:jc w:val="both"/>
        <w:rPr>
          <w:rFonts w:ascii="Palatino Linotype" w:eastAsia="Times New Roman" w:hAnsi="Palatino Linotype"/>
          <w:b/>
          <w:bCs/>
          <w:sz w:val="22"/>
          <w:szCs w:val="22"/>
          <w:lang w:val="id-ID" w:eastAsia="id-ID"/>
        </w:rPr>
      </w:pPr>
      <w:r w:rsidRPr="006C251E">
        <w:rPr>
          <w:rFonts w:ascii="Palatino Linotype" w:eastAsia="Times New Roman" w:hAnsi="Palatino Linotype"/>
          <w:b/>
          <w:bCs/>
          <w:sz w:val="22"/>
          <w:szCs w:val="22"/>
          <w:lang w:val="id-ID" w:eastAsia="id-ID"/>
        </w:rPr>
        <w:t>CONCLUSION</w:t>
      </w:r>
    </w:p>
    <w:p w14:paraId="7C17B2B6" w14:textId="77777777" w:rsidR="00AF6810" w:rsidRPr="006C251E" w:rsidRDefault="000177D3" w:rsidP="000177D3">
      <w:pPr>
        <w:widowControl/>
        <w:spacing w:line="276" w:lineRule="auto"/>
        <w:ind w:firstLine="720"/>
        <w:jc w:val="both"/>
        <w:rPr>
          <w:rFonts w:ascii="Palatino Linotype" w:eastAsia="Times New Roman" w:hAnsi="Palatino Linotype"/>
          <w:sz w:val="22"/>
          <w:szCs w:val="22"/>
          <w:lang w:val="en-US" w:eastAsia="id-ID"/>
        </w:rPr>
      </w:pPr>
      <w:r w:rsidRPr="006C251E">
        <w:rPr>
          <w:rFonts w:ascii="Palatino Linotype" w:eastAsia="Times New Roman" w:hAnsi="Palatino Linotype"/>
          <w:sz w:val="22"/>
          <w:szCs w:val="22"/>
          <w:lang w:val="id-ID" w:eastAsia="id-ID"/>
        </w:rPr>
        <w:t xml:space="preserve">Research shows that strategies involving all stakeholders, including teachers, students, and parents, can increase engagement and support for change. Furthermore, transparent and ongoing communication is key to reducing resistance and building trust. Effective change management in educational institutions relies not only on policy but also on the active </w:t>
      </w:r>
      <w:r w:rsidRPr="006C251E">
        <w:rPr>
          <w:rFonts w:ascii="Palatino Linotype" w:eastAsia="Times New Roman" w:hAnsi="Palatino Linotype"/>
          <w:sz w:val="22"/>
          <w:szCs w:val="22"/>
          <w:lang w:val="id-ID" w:eastAsia="id-ID"/>
        </w:rPr>
        <w:lastRenderedPageBreak/>
        <w:t>involvement of the entire school community. Effective administrative strategies for managing change in educational institutions include thorough planning, open communication, stakeholder involvement, relevant training, and systematic monitoring and evaluation. By implementing these strategies, educational institutions can better face the challenges of change, create a better learning environment, and achieve higher educational goals.</w:t>
      </w:r>
      <w:r w:rsidR="00AF6810" w:rsidRPr="006C251E">
        <w:rPr>
          <w:rFonts w:ascii="Palatino Linotype" w:eastAsia="Calibri" w:hAnsi="Palatino Linotype"/>
          <w:sz w:val="22"/>
          <w:szCs w:val="22"/>
          <w:lang w:val="en-US"/>
        </w:rPr>
        <w:t>.</w:t>
      </w:r>
    </w:p>
    <w:p w14:paraId="342FDC3D" w14:textId="695C6EC6" w:rsidR="00AF6810" w:rsidRPr="006C251E" w:rsidRDefault="00AF6810" w:rsidP="00EB786F">
      <w:pPr>
        <w:widowControl/>
        <w:spacing w:before="120" w:after="120" w:line="276" w:lineRule="auto"/>
        <w:jc w:val="both"/>
        <w:rPr>
          <w:rFonts w:ascii="Palatino Linotype" w:eastAsia="Calibri" w:hAnsi="Palatino Linotype"/>
          <w:b/>
          <w:bCs/>
          <w:sz w:val="22"/>
          <w:szCs w:val="22"/>
          <w:lang w:val="en-US"/>
        </w:rPr>
      </w:pPr>
      <w:r w:rsidRPr="006C251E">
        <w:rPr>
          <w:rFonts w:ascii="Palatino Linotype" w:eastAsia="Calibri" w:hAnsi="Palatino Linotype"/>
          <w:b/>
          <w:bCs/>
          <w:sz w:val="22"/>
          <w:szCs w:val="22"/>
          <w:lang w:val="en-US"/>
        </w:rPr>
        <w:t>REFERENCE</w:t>
      </w:r>
      <w:r w:rsidR="00EB786F">
        <w:rPr>
          <w:rFonts w:ascii="Palatino Linotype" w:eastAsia="Calibri" w:hAnsi="Palatino Linotype"/>
          <w:b/>
          <w:bCs/>
          <w:sz w:val="22"/>
          <w:szCs w:val="22"/>
          <w:lang w:val="en-US"/>
        </w:rPr>
        <w:t>S</w:t>
      </w:r>
    </w:p>
    <w:p w14:paraId="2B20EE32"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szCs w:val="24"/>
        </w:rPr>
      </w:pPr>
      <w:r w:rsidRPr="006C251E">
        <w:rPr>
          <w:rFonts w:ascii="Palatino Linotype" w:eastAsia="Times New Roman" w:hAnsi="Palatino Linotype"/>
          <w:color w:val="000000"/>
          <w:sz w:val="22"/>
          <w:szCs w:val="22"/>
          <w:lang w:val="en-ID" w:eastAsia="en-ID"/>
        </w:rPr>
        <w:fldChar w:fldCharType="begin" w:fldLock="1"/>
      </w:r>
      <w:r w:rsidRPr="006C251E">
        <w:rPr>
          <w:rFonts w:ascii="Palatino Linotype" w:eastAsia="Times New Roman" w:hAnsi="Palatino Linotype"/>
          <w:color w:val="000000"/>
          <w:sz w:val="22"/>
          <w:szCs w:val="22"/>
          <w:lang w:val="en-ID" w:eastAsia="en-ID"/>
        </w:rPr>
        <w:instrText xml:space="preserve">ADDIN Mendeley Bibliography CSL_BIBLIOGRAPHY </w:instrText>
      </w:r>
      <w:r w:rsidRPr="006C251E">
        <w:rPr>
          <w:rFonts w:ascii="Palatino Linotype" w:eastAsia="Times New Roman" w:hAnsi="Palatino Linotype"/>
          <w:color w:val="000000"/>
          <w:sz w:val="22"/>
          <w:szCs w:val="22"/>
          <w:lang w:val="en-ID" w:eastAsia="en-ID"/>
        </w:rPr>
        <w:fldChar w:fldCharType="separate"/>
      </w:r>
      <w:r w:rsidRPr="006C251E">
        <w:rPr>
          <w:rFonts w:ascii="Palatino Linotype" w:hAnsi="Palatino Linotype"/>
          <w:noProof/>
          <w:sz w:val="22"/>
          <w:szCs w:val="24"/>
        </w:rPr>
        <w:t>Afriansyah, H. (2019). Educational administration and supervision.</w:t>
      </w:r>
    </w:p>
    <w:p w14:paraId="295ECC6E"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szCs w:val="24"/>
        </w:rPr>
      </w:pPr>
      <w:r w:rsidRPr="006C251E">
        <w:rPr>
          <w:rFonts w:ascii="Palatino Linotype" w:hAnsi="Palatino Linotype"/>
          <w:noProof/>
          <w:sz w:val="22"/>
          <w:szCs w:val="24"/>
        </w:rPr>
        <w:t>Fuad, R., &amp; Iswantir, M. (2024). Improving the quality of education in Islamic boarding schools through curriculum innovation. Journal of Law, Politics and Social Sciences, 3(2), 118–131.</w:t>
      </w:r>
    </w:p>
    <w:p w14:paraId="34D570C1"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szCs w:val="24"/>
        </w:rPr>
      </w:pPr>
      <w:r w:rsidRPr="006C251E">
        <w:rPr>
          <w:rFonts w:ascii="Palatino Linotype" w:hAnsi="Palatino Linotype"/>
          <w:noProof/>
          <w:sz w:val="22"/>
          <w:szCs w:val="24"/>
        </w:rPr>
        <w:t>Kotler, P., &amp; Keller, K. L. (2016). A framework for marketing management. Prentice Hall.</w:t>
      </w:r>
    </w:p>
    <w:p w14:paraId="7B5358F4"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szCs w:val="24"/>
        </w:rPr>
      </w:pPr>
      <w:r w:rsidRPr="006C251E">
        <w:rPr>
          <w:rFonts w:ascii="Palatino Linotype" w:hAnsi="Palatino Linotype"/>
          <w:noProof/>
          <w:sz w:val="22"/>
          <w:szCs w:val="24"/>
        </w:rPr>
        <w:t>Lutfiartha, H., &amp; Miyono, N. (2025). The Role of Principal Leadership in Shaping the Organizational Climate and Culture at Sdn 04 Tegalsari, Pemalang Regency. Pendas: Scientific Journal of Elementary Education, 10(01), 1028–1039.</w:t>
      </w:r>
    </w:p>
    <w:p w14:paraId="4788755D"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szCs w:val="24"/>
        </w:rPr>
      </w:pPr>
      <w:r w:rsidRPr="006C251E">
        <w:rPr>
          <w:rFonts w:ascii="Palatino Linotype" w:hAnsi="Palatino Linotype"/>
          <w:noProof/>
          <w:sz w:val="22"/>
          <w:szCs w:val="24"/>
        </w:rPr>
        <w:t>Mardianto, M., Tanjung, LA, Nasution, FA, Harahap, FRH, Siregar, VY, Rewita, S., &amp; Akbar, S. (2023). The Strategy of Islamic Religious Education Teachers in Fostering Student Morals at Elementary School. Jurnal Basicedu, 7(2), 1209–1216.</w:t>
      </w:r>
    </w:p>
    <w:p w14:paraId="590B39D7"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szCs w:val="24"/>
        </w:rPr>
      </w:pPr>
      <w:r w:rsidRPr="006C251E">
        <w:rPr>
          <w:rFonts w:ascii="Palatino Linotype" w:hAnsi="Palatino Linotype"/>
          <w:noProof/>
          <w:sz w:val="22"/>
          <w:szCs w:val="24"/>
        </w:rPr>
        <w:t>Nufus, EAB, Riyanto, Y., &amp; Setyowati, S. (2024). Leadership strategies and approaches in improving the quality of education. Journal of Islamic Educational Administration, 6(2), 185–202.</w:t>
      </w:r>
    </w:p>
    <w:p w14:paraId="1EB6CAC5"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szCs w:val="24"/>
        </w:rPr>
      </w:pPr>
      <w:r w:rsidRPr="006C251E">
        <w:rPr>
          <w:rFonts w:ascii="Palatino Linotype" w:hAnsi="Palatino Linotype"/>
          <w:noProof/>
          <w:sz w:val="22"/>
          <w:szCs w:val="24"/>
        </w:rPr>
        <w:t>Nufuz, DA, Mahendra, MH, Faqih, A., &amp; Setianingrum, N. (2025). Effective strategies in change management: Building organizational resilience in the digital era. Writing: Jurnal Penelitian Nusantara, 1(6), 540–547.</w:t>
      </w:r>
    </w:p>
    <w:p w14:paraId="658D9CFD"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szCs w:val="24"/>
        </w:rPr>
      </w:pPr>
      <w:r w:rsidRPr="006C251E">
        <w:rPr>
          <w:rFonts w:ascii="Palatino Linotype" w:hAnsi="Palatino Linotype"/>
          <w:noProof/>
          <w:sz w:val="22"/>
          <w:szCs w:val="24"/>
        </w:rPr>
        <w:t>Permana, MUA (2025). Leadership Change in Islamic Educational Institutions: The Impact of the Crisis of Public Trust on Management and Sustainability. Visionaria: Journal of Educational Innovation Management, 1(1), 51–69.</w:t>
      </w:r>
    </w:p>
    <w:p w14:paraId="04CC834F"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szCs w:val="24"/>
        </w:rPr>
      </w:pPr>
      <w:r w:rsidRPr="006C251E">
        <w:rPr>
          <w:rFonts w:ascii="Palatino Linotype" w:hAnsi="Palatino Linotype"/>
          <w:noProof/>
          <w:sz w:val="22"/>
          <w:szCs w:val="24"/>
        </w:rPr>
        <w:t>Sahra, A.P., Komalasari, K., Kayyis, II, Andrian, M., &amp; Iskandar, S. (2025). Evaluation of elementary school management: a case study in challenging conventional paradigms and creating sustainable educational innovations. Scientific Journal of Global Education, 6(2), 313–322.</w:t>
      </w:r>
    </w:p>
    <w:p w14:paraId="34D628AB"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szCs w:val="24"/>
        </w:rPr>
      </w:pPr>
      <w:r w:rsidRPr="006C251E">
        <w:rPr>
          <w:rFonts w:ascii="Palatino Linotype" w:hAnsi="Palatino Linotype"/>
          <w:noProof/>
          <w:sz w:val="22"/>
          <w:szCs w:val="24"/>
        </w:rPr>
        <w:t>Satriadi, TI, Tanrere, SB, &amp; Zuhri, S. (2026). Managerial Competence of Madrasah Principals in Improving the Quality of Education at Darussalam Pangkalpinang Junior High School. Al-Zayn: Journal of Social Sciences &amp; Law, 4(2), 4458–4470.</w:t>
      </w:r>
    </w:p>
    <w:p w14:paraId="16E30017"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szCs w:val="24"/>
        </w:rPr>
      </w:pPr>
      <w:r w:rsidRPr="006C251E">
        <w:rPr>
          <w:rFonts w:ascii="Palatino Linotype" w:hAnsi="Palatino Linotype"/>
          <w:noProof/>
          <w:sz w:val="22"/>
          <w:szCs w:val="24"/>
        </w:rPr>
        <w:t>Senge, P. M. (1997). The fifth discipline. Measuring Business Excellence, 1(3), 46–51.</w:t>
      </w:r>
    </w:p>
    <w:p w14:paraId="1D872F46"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szCs w:val="24"/>
        </w:rPr>
      </w:pPr>
      <w:r w:rsidRPr="006C251E">
        <w:rPr>
          <w:rFonts w:ascii="Palatino Linotype" w:hAnsi="Palatino Linotype"/>
          <w:noProof/>
          <w:sz w:val="22"/>
          <w:szCs w:val="24"/>
        </w:rPr>
        <w:t>Sumarlin, I., &amp; Laniar, H. (2025). Efforts to develop teacher professionalism in improving the quality of learning. Pendas: Scientific Journal of Elementary Education, 10(04), 276–294.</w:t>
      </w:r>
    </w:p>
    <w:p w14:paraId="662D5DC1"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szCs w:val="24"/>
        </w:rPr>
      </w:pPr>
      <w:r w:rsidRPr="006C251E">
        <w:rPr>
          <w:rFonts w:ascii="Palatino Linotype" w:hAnsi="Palatino Linotype"/>
          <w:noProof/>
          <w:sz w:val="22"/>
          <w:szCs w:val="24"/>
        </w:rPr>
        <w:t>Susanto, D., Ardiansyah, SP, Pd, MS, Kom, M., &amp; ... (2023). Administration and Supervision of Islamic Education. books.google.com.</w:t>
      </w:r>
    </w:p>
    <w:p w14:paraId="7572A055" w14:textId="77777777" w:rsidR="00A057BD" w:rsidRPr="006C251E" w:rsidRDefault="00A057BD" w:rsidP="00EB786F">
      <w:pPr>
        <w:autoSpaceDE w:val="0"/>
        <w:autoSpaceDN w:val="0"/>
        <w:adjustRightInd w:val="0"/>
        <w:spacing w:line="276" w:lineRule="auto"/>
        <w:ind w:left="567" w:hanging="567"/>
        <w:jc w:val="both"/>
        <w:rPr>
          <w:rFonts w:ascii="Palatino Linotype" w:hAnsi="Palatino Linotype"/>
          <w:noProof/>
          <w:sz w:val="22"/>
        </w:rPr>
      </w:pPr>
      <w:r w:rsidRPr="006C251E">
        <w:rPr>
          <w:rFonts w:ascii="Palatino Linotype" w:hAnsi="Palatino Linotype"/>
          <w:noProof/>
          <w:sz w:val="22"/>
          <w:szCs w:val="24"/>
        </w:rPr>
        <w:t xml:space="preserve">Syafitri, VP, &amp; Toni, A. (2024). Organizational communication in the process of forming </w:t>
      </w:r>
      <w:r w:rsidRPr="006C251E">
        <w:rPr>
          <w:rFonts w:ascii="Palatino Linotype" w:hAnsi="Palatino Linotype"/>
          <w:noProof/>
          <w:sz w:val="22"/>
          <w:szCs w:val="24"/>
        </w:rPr>
        <w:lastRenderedPageBreak/>
        <w:t>organizational culture through agents of change. Indonesian Journal: Informatics and Communication Management, 5(2), 1602–1610.</w:t>
      </w:r>
    </w:p>
    <w:p w14:paraId="497DDA4F" w14:textId="77777777" w:rsidR="00560ADD" w:rsidRPr="006C251E" w:rsidRDefault="00A057BD" w:rsidP="00EB786F">
      <w:pPr>
        <w:widowControl/>
        <w:spacing w:line="276" w:lineRule="auto"/>
        <w:ind w:left="567" w:hanging="567"/>
        <w:jc w:val="both"/>
        <w:rPr>
          <w:rFonts w:ascii="Palatino Linotype" w:eastAsia="Times New Roman" w:hAnsi="Palatino Linotype"/>
          <w:color w:val="000000"/>
          <w:sz w:val="22"/>
          <w:szCs w:val="22"/>
          <w:lang w:val="en-ID" w:eastAsia="en-ID"/>
        </w:rPr>
      </w:pPr>
      <w:r w:rsidRPr="006C251E">
        <w:rPr>
          <w:rFonts w:ascii="Palatino Linotype" w:eastAsia="Times New Roman" w:hAnsi="Palatino Linotype"/>
          <w:color w:val="000000"/>
          <w:sz w:val="22"/>
          <w:szCs w:val="22"/>
          <w:lang w:val="en-ID" w:eastAsia="en-ID"/>
        </w:rPr>
        <w:fldChar w:fldCharType="end"/>
      </w:r>
    </w:p>
    <w:sectPr w:rsidR="00560ADD" w:rsidRPr="006C251E" w:rsidSect="006F70FE">
      <w:headerReference w:type="even" r:id="rId10"/>
      <w:headerReference w:type="default" r:id="rId11"/>
      <w:footerReference w:type="even" r:id="rId12"/>
      <w:footerReference w:type="default" r:id="rId13"/>
      <w:headerReference w:type="first" r:id="rId14"/>
      <w:footerReference w:type="first" r:id="rId15"/>
      <w:pgSz w:w="11907" w:h="16840" w:code="9"/>
      <w:pgMar w:top="1701" w:right="1418" w:bottom="1418" w:left="1418" w:header="567" w:footer="567" w:gutter="0"/>
      <w:pgNumType w:start="117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58C4A" w14:textId="77777777" w:rsidR="00BF43BF" w:rsidRDefault="00BF43BF">
      <w:pPr>
        <w:spacing w:line="240" w:lineRule="auto"/>
      </w:pPr>
      <w:r>
        <w:separator/>
      </w:r>
    </w:p>
  </w:endnote>
  <w:endnote w:type="continuationSeparator" w:id="0">
    <w:p w14:paraId="1061C7FD" w14:textId="77777777" w:rsidR="00BF43BF" w:rsidRDefault="00BF43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7930" w14:textId="77777777" w:rsidR="00681514" w:rsidRPr="002C7759" w:rsidRDefault="00681514"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rPr>
      <mc:AlternateContent>
        <mc:Choice Requires="wps">
          <w:drawing>
            <wp:anchor distT="0" distB="0" distL="114300" distR="114300" simplePos="0" relativeHeight="251673600" behindDoc="0" locked="0" layoutInCell="1" allowOverlap="1" wp14:anchorId="2DE4C8AC" wp14:editId="5AA176D5">
              <wp:simplePos x="0" y="0"/>
              <wp:positionH relativeFrom="column">
                <wp:posOffset>266065</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4CEFEEB2" id="Straight Connector 10"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95pt,.55pt" to="20.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" strokecolor="black [3213]" strokeweight=".5pt">
              <v:stroke joinstyle="miter"/>
            </v:line>
          </w:pict>
        </mc:Fallback>
      </mc:AlternateContent>
    </w:r>
    <w:r w:rsidRPr="002C7759">
      <w:rPr>
        <w:rFonts w:ascii="Palatino Linotype" w:hAnsi="Palatino Linotype"/>
        <w:sz w:val="18"/>
        <w:szCs w:val="18"/>
      </w:rPr>
      <w:fldChar w:fldCharType="begin"/>
    </w:r>
    <w:r w:rsidRPr="002C7759">
      <w:rPr>
        <w:rFonts w:ascii="Palatino Linotype" w:hAnsi="Palatino Linotype"/>
        <w:sz w:val="18"/>
        <w:szCs w:val="18"/>
      </w:rPr>
      <w:instrText xml:space="preserve"> PAGE   \* MERGEFORMAT </w:instrText>
    </w:r>
    <w:r w:rsidRPr="002C7759">
      <w:rPr>
        <w:rFonts w:ascii="Palatino Linotype" w:hAnsi="Palatino Linotype"/>
        <w:sz w:val="18"/>
        <w:szCs w:val="18"/>
      </w:rPr>
      <w:fldChar w:fldCharType="separate"/>
    </w:r>
    <w:r w:rsidRPr="002C7759">
      <w:rPr>
        <w:rFonts w:ascii="Palatino Linotype" w:hAnsi="Palatino Linotype"/>
        <w:sz w:val="18"/>
        <w:szCs w:val="18"/>
      </w:rPr>
      <w:t>12</w:t>
    </w:r>
    <w:r w:rsidRPr="002C7759">
      <w:rPr>
        <w:rFonts w:ascii="Palatino Linotype" w:hAnsi="Palatino Linotype"/>
        <w:sz w:val="18"/>
        <w:szCs w:val="18"/>
      </w:rPr>
      <w:fldChar w:fldCharType="end"/>
    </w:r>
    <w:r>
      <w:rPr>
        <w:rFonts w:ascii="Palatino Linotype" w:hAnsi="Palatino Linotype"/>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522C" w14:textId="77777777" w:rsidR="00681514" w:rsidRPr="006D38E2" w:rsidRDefault="00681514"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rPr>
      <mc:AlternateContent>
        <mc:Choice Requires="wps">
          <w:drawing>
            <wp:anchor distT="0" distB="0" distL="114300" distR="114300" simplePos="0" relativeHeight="251675648" behindDoc="0" locked="0" layoutInCell="1" allowOverlap="1" wp14:anchorId="5C1EEA57" wp14:editId="54BB413B">
              <wp:simplePos x="0" y="0"/>
              <wp:positionH relativeFrom="column">
                <wp:posOffset>5401945</wp:posOffset>
              </wp:positionH>
              <wp:positionV relativeFrom="paragraph">
                <wp:posOffset>0</wp:posOffset>
              </wp:positionV>
              <wp:extent cx="0" cy="156881"/>
              <wp:effectExtent l="0" t="0" r="38100" b="33655"/>
              <wp:wrapNone/>
              <wp:docPr id="11" name="Straight Connector 11"/>
              <wp:cNvGraphicFramePr/>
              <a:graphic xmlns:a="http://schemas.openxmlformats.org/drawingml/2006/main">
                <a:graphicData uri="http://schemas.microsoft.com/office/word/2010/wordprocessingShape">
                  <wps:wsp>
                    <wps:cNvCnPr/>
                    <wps:spPr>
                      <a:xfrm>
                        <a:off x="0" y="0"/>
                        <a:ext cx="0" cy="15688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2797EB64" id="Straight Connector 1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5.35pt,0" to="425.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" strokecolor="black [3213]" strokeweight=".5pt">
              <v:stroke joinstyle="miter"/>
            </v:line>
          </w:pict>
        </mc:Fallback>
      </mc:AlternateContent>
    </w:r>
    <w:r>
      <w:rPr>
        <w:rFonts w:ascii="Garamond" w:hAnsi="Garamond"/>
        <w:iCs/>
        <w:sz w:val="16"/>
        <w:szCs w:val="16"/>
      </w:rPr>
      <w:t xml:space="preserve"> </w:t>
    </w:r>
    <w:r w:rsidRPr="002C7759">
      <w:rPr>
        <w:rFonts w:ascii="Palatino Linotype" w:hAnsi="Palatino Linotype"/>
        <w:i w:val="0"/>
        <w:iCs/>
        <w:sz w:val="18"/>
        <w:szCs w:val="18"/>
      </w:rPr>
      <w:fldChar w:fldCharType="begin"/>
    </w:r>
    <w:r w:rsidRPr="002C7759">
      <w:rPr>
        <w:rFonts w:ascii="Palatino Linotype" w:hAnsi="Palatino Linotype"/>
        <w:i w:val="0"/>
        <w:iCs/>
        <w:sz w:val="18"/>
        <w:szCs w:val="18"/>
      </w:rPr>
      <w:instrText xml:space="preserve"> PAGE   \* MERGEFORMAT </w:instrText>
    </w:r>
    <w:r w:rsidRPr="002C7759">
      <w:rPr>
        <w:rFonts w:ascii="Palatino Linotype" w:hAnsi="Palatino Linotype"/>
        <w:i w:val="0"/>
        <w:iCs/>
        <w:sz w:val="18"/>
        <w:szCs w:val="18"/>
      </w:rPr>
      <w:fldChar w:fldCharType="separate"/>
    </w:r>
    <w:r w:rsidRPr="002C7759">
      <w:rPr>
        <w:rFonts w:ascii="Palatino Linotype" w:hAnsi="Palatino Linotype"/>
        <w:i w:val="0"/>
        <w:iCs/>
        <w:sz w:val="18"/>
        <w:szCs w:val="18"/>
      </w:rPr>
      <w:t>17</w:t>
    </w:r>
    <w:r w:rsidRPr="002C7759">
      <w:rPr>
        <w:rFonts w:ascii="Palatino Linotype" w:hAnsi="Palatino Linotype"/>
        <w:i w:val="0"/>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FE8E" w14:textId="77777777" w:rsidR="00681514" w:rsidRDefault="00681514">
    <w:r>
      <w:rPr>
        <w:noProof/>
      </w:rPr>
      <mc:AlternateContent>
        <mc:Choice Requires="wps">
          <w:drawing>
            <wp:anchor distT="0" distB="0" distL="114300" distR="114300" simplePos="0" relativeHeight="251689984" behindDoc="0" locked="0" layoutInCell="1" allowOverlap="1" wp14:anchorId="35780586" wp14:editId="5878B16E">
              <wp:simplePos x="0" y="0"/>
              <wp:positionH relativeFrom="column">
                <wp:posOffset>1047750</wp:posOffset>
              </wp:positionH>
              <wp:positionV relativeFrom="paragraph">
                <wp:posOffset>146050</wp:posOffset>
              </wp:positionV>
              <wp:extent cx="3587750" cy="0"/>
              <wp:effectExtent l="0" t="0" r="0" b="0"/>
              <wp:wrapNone/>
              <wp:docPr id="68" name="Straight Connector 68"/>
              <wp:cNvGraphicFramePr/>
              <a:graphic xmlns:a="http://schemas.openxmlformats.org/drawingml/2006/main">
                <a:graphicData uri="http://schemas.microsoft.com/office/word/2010/wordprocessingShape">
                  <wps:wsp>
                    <wps:cNvCnPr/>
                    <wps:spPr>
                      <a:xfrm>
                        <a:off x="0" y="0"/>
                        <a:ext cx="35877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68" style="position:absolute;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" from="82.5pt,11.5pt" to="365pt,11.5pt" w14:anchorId="1D6B1183">
              <v:stroke joinstyle="miter"/>
            </v:line>
          </w:pict>
        </mc:Fallback>
      </mc:AlternateContent>
    </w:r>
  </w:p>
  <w:p w14:paraId="6E1264F3" w14:textId="77777777" w:rsidR="00681514" w:rsidRPr="004626A9" w:rsidRDefault="00681514" w:rsidP="004626A9">
    <w:pPr>
      <w:widowControl/>
      <w:spacing w:line="240" w:lineRule="auto"/>
      <w:ind w:left="851" w:right="851"/>
      <w:jc w:val="center"/>
      <w:rPr>
        <w:rFonts w:ascii="Palatino Linotype" w:hAnsi="Palatino Linotype" w:cs="Arial"/>
        <w:sz w:val="18"/>
        <w:szCs w:val="18"/>
        <w:lang w:val="en-ID"/>
      </w:rPr>
    </w:pPr>
    <w:bookmarkStart w:id="0" w:name="_Hlk188823997"/>
    <w:r w:rsidRPr="004626A9">
      <w:rPr>
        <w:rFonts w:ascii="Palatino Linotype" w:hAnsi="Palatino Linotype" w:cs="Arial"/>
        <w:sz w:val="18"/>
        <w:szCs w:val="18"/>
      </w:rPr>
      <w:t>Published by Edujavare Publishing; Indonesia</w:t>
    </w:r>
    <w:bookmarkEnd w:id="0"/>
  </w:p>
  <w:p w14:paraId="52B7B689" w14:textId="77777777" w:rsidR="00681514" w:rsidRPr="0080323E" w:rsidRDefault="00681514" w:rsidP="005F40F2">
    <w:pPr>
      <w:spacing w:line="240" w:lineRule="auto"/>
      <w:ind w:left="851" w:right="850"/>
      <w:jc w:val="center"/>
      <w:rPr>
        <w:rFonts w:ascii="Palatino Linotype" w:hAnsi="Palatino Linotype" w:cs="Arial"/>
        <w:sz w:val="18"/>
        <w:szCs w:val="18"/>
      </w:rPr>
    </w:pPr>
    <w:r>
      <w:rPr>
        <w:rFonts w:ascii="Palatino Linotype" w:hAnsi="Palatino Linotype" w:cs="Arial"/>
        <w:sz w:val="18"/>
        <w:szCs w:val="18"/>
      </w:rPr>
      <w:t>Accredited SINTA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92BA4" w14:textId="77777777" w:rsidR="00BF43BF" w:rsidRDefault="00BF43BF">
      <w:pPr>
        <w:spacing w:line="240" w:lineRule="auto"/>
      </w:pPr>
      <w:r>
        <w:separator/>
      </w:r>
    </w:p>
  </w:footnote>
  <w:footnote w:type="continuationSeparator" w:id="0">
    <w:p w14:paraId="1DDFB2DE" w14:textId="77777777" w:rsidR="00BF43BF" w:rsidRDefault="00BF43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6FAC" w14:textId="77777777" w:rsidR="00D73AA6" w:rsidRDefault="00D73AA6" w:rsidP="006C251E">
    <w:pPr>
      <w:pStyle w:val="Header"/>
      <w:jc w:val="both"/>
      <w:rPr>
        <w:rFonts w:ascii="Palatino Linotype" w:hAnsi="Palatino Linotype"/>
        <w:i/>
        <w:iCs/>
        <w:sz w:val="16"/>
        <w:szCs w:val="16"/>
      </w:rPr>
    </w:pPr>
    <w:r w:rsidRPr="00D73AA6">
      <w:rPr>
        <w:rFonts w:ascii="Palatino Linotype" w:hAnsi="Palatino Linotype"/>
        <w:i/>
        <w:iCs/>
        <w:sz w:val="16"/>
        <w:szCs w:val="16"/>
      </w:rPr>
      <w:t>Administrative Strategies in Managing Change in Educational Institutions</w:t>
    </w:r>
  </w:p>
  <w:p w14:paraId="7008D8E6" w14:textId="1268F26D" w:rsidR="00681514" w:rsidRDefault="006C251E" w:rsidP="006C251E">
    <w:pPr>
      <w:pStyle w:val="Header"/>
      <w:jc w:val="both"/>
      <w:rPr>
        <w:rFonts w:ascii="Palatino Linotype" w:hAnsi="Palatino Linotype"/>
        <w:i/>
        <w:iCs/>
        <w:sz w:val="16"/>
        <w:szCs w:val="16"/>
      </w:rPr>
    </w:pPr>
    <w:r w:rsidRPr="006C251E">
      <w:rPr>
        <w:rFonts w:ascii="Palatino Linotype" w:hAnsi="Palatino Linotype"/>
        <w:i/>
        <w:iCs/>
        <w:sz w:val="16"/>
        <w:szCs w:val="16"/>
      </w:rPr>
      <w:t>Helis Suryani</w:t>
    </w:r>
    <w:r w:rsidR="00681514">
      <w:rPr>
        <w:rFonts w:ascii="Palatino Linotype" w:hAnsi="Palatino Linotype"/>
        <w:i/>
        <w:iCs/>
        <w:sz w:val="16"/>
        <w:szCs w:val="16"/>
      </w:rPr>
      <mc:AlternateContent>
        <mc:Choice Requires="wps">
          <w:drawing>
            <wp:anchor distT="0" distB="0" distL="114300" distR="114300" simplePos="0" relativeHeight="251685888" behindDoc="0" locked="0" layoutInCell="1" allowOverlap="1" wp14:anchorId="54A24066" wp14:editId="6F8D7134">
              <wp:simplePos x="0" y="0"/>
              <wp:positionH relativeFrom="column">
                <wp:posOffset>3175</wp:posOffset>
              </wp:positionH>
              <wp:positionV relativeFrom="paragraph">
                <wp:posOffset>163526</wp:posOffset>
              </wp:positionV>
              <wp:extent cx="57505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w:pict>
            <v:line id="Straight Connector 4" style="position:absolute;z-index:2516858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" from=".25pt,12.9pt" to="453.05pt,12.9pt" w14:anchorId="396DD1DC">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0CB0D" w14:textId="77777777" w:rsidR="00681514" w:rsidRPr="00DF6DDC" w:rsidRDefault="00681514" w:rsidP="00DF6DDC">
    <w:pPr>
      <w:pStyle w:val="Header"/>
      <w:jc w:val="both"/>
      <w:rPr>
        <w:rFonts w:ascii="Palatino Linotype" w:hAnsi="Palatino Linotype"/>
        <w:b/>
        <w:bCs/>
        <w:sz w:val="16"/>
        <w:szCs w:val="16"/>
        <w:highlight w:val="white"/>
      </w:rPr>
    </w:pPr>
    <w:r w:rsidRPr="00345856">
      <w:rPr>
        <w:rFonts w:ascii="Palatino Linotype" w:hAnsi="Palatino Linotype"/>
        <w:b/>
        <w:bCs/>
        <w:i/>
        <w:iCs/>
        <w:sz w:val="18"/>
        <w:szCs w:val="18"/>
        <w:lang w:eastAsia="id-ID"/>
      </w:rPr>
      <mc:AlternateContent>
        <mc:Choice Requires="wps">
          <w:drawing>
            <wp:anchor distT="0" distB="0" distL="114300" distR="114300" simplePos="0" relativeHeight="251695104" behindDoc="0" locked="0" layoutInCell="1" allowOverlap="1" wp14:anchorId="203CC42A" wp14:editId="563E44DD">
              <wp:simplePos x="0" y="0"/>
              <wp:positionH relativeFrom="column">
                <wp:posOffset>0</wp:posOffset>
              </wp:positionH>
              <wp:positionV relativeFrom="paragraph">
                <wp:posOffset>171450</wp:posOffset>
              </wp:positionV>
              <wp:extent cx="57505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a="http://schemas.openxmlformats.org/drawingml/2006/main">
          <w:pict>
            <v:line id="Straight Connector 2" style="position:absolute;z-index:2516951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" from="0,13.5pt" to="452.8pt,13.5pt" w14:anchorId="1E6963F6">
              <v:stroke joinstyle="miter"/>
            </v:line>
          </w:pict>
        </mc:Fallback>
      </mc:AlternateContent>
    </w:r>
    <w:r w:rsidRPr="00064A9A">
      <w:rPr>
        <w:rFonts w:ascii="Palatino Linotype" w:hAnsi="Palatino Linotype"/>
        <w:b/>
        <w:bCs/>
        <w:i/>
        <w:iCs/>
        <w:sz w:val="18"/>
        <w:szCs w:val="18"/>
        <w:lang w:eastAsia="id-ID"/>
      </w:rPr>
      <w:t>EDUJAVARE: International Journal of Educational Research</w:t>
    </w:r>
    <w:r>
      <w:rPr>
        <w:rFonts w:ascii="Cambria" w:hAnsi="Cambria"/>
        <w:highlight w:val="white"/>
      </w:rPr>
      <w:t xml:space="preserve"> </w:t>
    </w:r>
  </w:p>
  <w:p w14:paraId="583A6BDE" w14:textId="77777777" w:rsidR="00681514" w:rsidRPr="00DF6DDC" w:rsidRDefault="00681514" w:rsidP="00DF6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1"/>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394"/>
      <w:gridCol w:w="2410"/>
    </w:tblGrid>
    <w:tr w:rsidR="00681514" w:rsidRPr="00524F3D" w14:paraId="7313AE40" w14:textId="77777777" w:rsidTr="00681514">
      <w:trPr>
        <w:jc w:val="center"/>
      </w:trPr>
      <w:tc>
        <w:tcPr>
          <w:tcW w:w="2410" w:type="dxa"/>
        </w:tcPr>
        <w:p w14:paraId="3D76280C" w14:textId="77777777" w:rsidR="00681514" w:rsidRPr="00524F3D" w:rsidRDefault="00681514" w:rsidP="00524F3D">
          <w:pPr>
            <w:widowControl/>
            <w:tabs>
              <w:tab w:val="center" w:pos="4706"/>
              <w:tab w:val="right" w:pos="9356"/>
            </w:tabs>
            <w:spacing w:line="276" w:lineRule="auto"/>
            <w:contextualSpacing/>
            <w:rPr>
              <w:rFonts w:ascii="Palatino Linotype" w:hAnsi="Palatino Linotype"/>
              <w:noProof/>
              <w:sz w:val="18"/>
              <w:szCs w:val="18"/>
              <w:lang w:val="en-IN"/>
            </w:rPr>
          </w:pPr>
          <w:r w:rsidRPr="00524F3D">
            <w:rPr>
              <w:rFonts w:ascii="Palatino Linotype" w:hAnsi="Palatino Linotype"/>
              <w:noProof/>
              <w:sz w:val="18"/>
              <w:szCs w:val="18"/>
              <w:lang w:val="en-IN"/>
            </w:rPr>
            <w:t>Volume 4 Number 1 (2026)</w:t>
          </w:r>
        </w:p>
        <w:p w14:paraId="78EB359D" w14:textId="77777777" w:rsidR="00681514" w:rsidRPr="00524F3D" w:rsidRDefault="00681514" w:rsidP="00524F3D">
          <w:pPr>
            <w:widowControl/>
            <w:tabs>
              <w:tab w:val="center" w:pos="4706"/>
              <w:tab w:val="right" w:pos="9356"/>
            </w:tabs>
            <w:spacing w:line="276" w:lineRule="auto"/>
            <w:contextualSpacing/>
            <w:rPr>
              <w:rFonts w:ascii="Palatino Linotype" w:hAnsi="Palatino Linotype"/>
              <w:noProof/>
              <w:sz w:val="18"/>
              <w:szCs w:val="18"/>
              <w:lang w:val="en-IN"/>
            </w:rPr>
          </w:pPr>
          <w:r w:rsidRPr="00524F3D">
            <w:rPr>
              <w:rFonts w:ascii="Palatino Linotype" w:hAnsi="Palatino Linotype"/>
              <w:noProof/>
              <w:sz w:val="18"/>
              <w:szCs w:val="18"/>
              <w:lang w:val="en-IN"/>
            </w:rPr>
            <w:t>January – June 2026</w:t>
          </w:r>
        </w:p>
        <w:p w14:paraId="7274BF65" w14:textId="003D0DCA" w:rsidR="00681514" w:rsidRPr="00524F3D" w:rsidRDefault="00681514" w:rsidP="00524F3D">
          <w:pPr>
            <w:widowControl/>
            <w:tabs>
              <w:tab w:val="center" w:pos="4706"/>
              <w:tab w:val="right" w:pos="9356"/>
            </w:tabs>
            <w:spacing w:line="276" w:lineRule="auto"/>
            <w:contextualSpacing/>
            <w:rPr>
              <w:rFonts w:ascii="Palatino Linotype" w:hAnsi="Palatino Linotype"/>
              <w:noProof/>
              <w:sz w:val="18"/>
              <w:szCs w:val="18"/>
              <w:lang w:val="en-IN"/>
            </w:rPr>
          </w:pPr>
          <w:r w:rsidRPr="00524F3D">
            <w:rPr>
              <w:rFonts w:ascii="Palatino Linotype" w:hAnsi="Palatino Linotype"/>
              <w:noProof/>
              <w:sz w:val="18"/>
              <w:szCs w:val="18"/>
              <w:lang w:val="en-IN"/>
            </w:rPr>
            <w:t xml:space="preserve">Page: </w:t>
          </w:r>
          <w:r w:rsidR="006F70FE">
            <w:rPr>
              <w:rFonts w:ascii="Palatino Linotype" w:hAnsi="Palatino Linotype"/>
              <w:noProof/>
              <w:sz w:val="18"/>
              <w:szCs w:val="18"/>
              <w:lang w:val="en-IN"/>
            </w:rPr>
            <w:t>1175</w:t>
          </w:r>
          <w:r w:rsidRPr="00524F3D">
            <w:rPr>
              <w:rFonts w:ascii="Palatino Linotype" w:hAnsi="Palatino Linotype"/>
              <w:noProof/>
              <w:sz w:val="18"/>
              <w:szCs w:val="18"/>
              <w:lang w:val="en-IN"/>
            </w:rPr>
            <w:t>-</w:t>
          </w:r>
          <w:r w:rsidR="00D73AA6">
            <w:rPr>
              <w:rFonts w:ascii="Palatino Linotype" w:hAnsi="Palatino Linotype"/>
              <w:noProof/>
              <w:sz w:val="18"/>
              <w:szCs w:val="18"/>
              <w:lang w:val="en-IN"/>
            </w:rPr>
            <w:t>1182</w:t>
          </w:r>
        </w:p>
      </w:tc>
      <w:tc>
        <w:tcPr>
          <w:tcW w:w="4394" w:type="dxa"/>
        </w:tcPr>
        <w:p w14:paraId="03DF6D2C" w14:textId="77777777" w:rsidR="00681514" w:rsidRPr="00524F3D" w:rsidRDefault="00681514" w:rsidP="00524F3D">
          <w:pPr>
            <w:widowControl/>
            <w:tabs>
              <w:tab w:val="center" w:pos="4706"/>
              <w:tab w:val="right" w:pos="9356"/>
            </w:tabs>
            <w:spacing w:before="120" w:after="120" w:line="240" w:lineRule="auto"/>
            <w:ind w:left="-110" w:right="-101"/>
            <w:contextualSpacing/>
            <w:jc w:val="center"/>
            <w:rPr>
              <w:rFonts w:ascii="Palatino Linotype" w:hAnsi="Palatino Linotype"/>
              <w:noProof/>
              <w:szCs w:val="16"/>
              <w:lang w:val="en-IN"/>
            </w:rPr>
          </w:pPr>
          <w:r w:rsidRPr="00524F3D">
            <w:rPr>
              <w:rFonts w:ascii="Palatino Linotype" w:hAnsi="Palatino Linotype"/>
              <w:noProof/>
              <w:szCs w:val="16"/>
              <w:lang w:val="en-IN"/>
            </w:rPr>
            <w:t>EDUJAVARE: International Journal of Educational Research</w:t>
          </w:r>
        </w:p>
        <w:p w14:paraId="2D6BDE9E" w14:textId="77777777" w:rsidR="00681514" w:rsidRPr="00524F3D" w:rsidRDefault="00681514" w:rsidP="00524F3D">
          <w:pPr>
            <w:widowControl/>
            <w:tabs>
              <w:tab w:val="center" w:pos="4706"/>
              <w:tab w:val="right" w:pos="9356"/>
            </w:tabs>
            <w:spacing w:before="120" w:after="120" w:line="240" w:lineRule="auto"/>
            <w:contextualSpacing/>
            <w:jc w:val="center"/>
            <w:rPr>
              <w:rFonts w:ascii="Palatino Linotype" w:hAnsi="Palatino Linotype"/>
              <w:noProof/>
              <w:sz w:val="18"/>
              <w:szCs w:val="18"/>
              <w:lang w:val="en-IN"/>
            </w:rPr>
          </w:pPr>
          <w:r w:rsidRPr="00524F3D">
            <w:rPr>
              <w:rFonts w:ascii="Palatino Linotype" w:hAnsi="Palatino Linotype"/>
              <w:noProof/>
              <w:sz w:val="18"/>
              <w:szCs w:val="18"/>
              <w:lang w:val="en-IN"/>
            </w:rPr>
            <w:t>ISSN: 3031-2884</w:t>
          </w:r>
        </w:p>
        <w:p w14:paraId="1E481EA1" w14:textId="77777777" w:rsidR="00681514" w:rsidRPr="00524F3D" w:rsidRDefault="00681514" w:rsidP="00524F3D">
          <w:pPr>
            <w:widowControl/>
            <w:tabs>
              <w:tab w:val="center" w:pos="4706"/>
              <w:tab w:val="right" w:pos="9356"/>
            </w:tabs>
            <w:spacing w:before="120" w:after="120" w:line="240" w:lineRule="auto"/>
            <w:contextualSpacing/>
            <w:jc w:val="center"/>
            <w:rPr>
              <w:noProof/>
              <w:color w:val="0070C0"/>
              <w:sz w:val="20"/>
              <w:szCs w:val="28"/>
              <w:lang w:val="en-IN"/>
            </w:rPr>
          </w:pPr>
          <w:hyperlink r:id="rId1" w:history="1">
            <w:r w:rsidRPr="00524F3D">
              <w:rPr>
                <w:noProof/>
                <w:sz w:val="20"/>
                <w:szCs w:val="28"/>
                <w:lang w:val="en-IN"/>
              </w:rPr>
              <w:t>https://edujavare.com/index.php/edujavare</w:t>
            </w:r>
          </w:hyperlink>
        </w:p>
        <w:p w14:paraId="4FCBC80D" w14:textId="0BCB7BF4" w:rsidR="00681514" w:rsidRPr="00524F3D" w:rsidRDefault="00681514" w:rsidP="00524F3D">
          <w:pPr>
            <w:widowControl/>
            <w:tabs>
              <w:tab w:val="center" w:pos="4706"/>
              <w:tab w:val="right" w:pos="9356"/>
            </w:tabs>
            <w:spacing w:before="120" w:after="120" w:line="240" w:lineRule="auto"/>
            <w:contextualSpacing/>
            <w:jc w:val="center"/>
            <w:rPr>
              <w:rFonts w:ascii="Palatino Linotype" w:hAnsi="Palatino Linotype"/>
              <w:noProof/>
              <w:sz w:val="18"/>
              <w:szCs w:val="18"/>
              <w:lang w:val="en-IN"/>
            </w:rPr>
          </w:pPr>
          <w:r w:rsidRPr="00524F3D">
            <w:rPr>
              <w:rFonts w:ascii="Palatino Linotype" w:eastAsia="Palatino Linotype" w:hAnsi="Palatino Linotype" w:cs="Palatino Linotype"/>
              <w:noProof/>
              <w:color w:val="000000"/>
              <w:sz w:val="18"/>
              <w:szCs w:val="18"/>
              <w:lang w:val="en-IN"/>
            </w:rPr>
            <w:t>DOI: 10.70610/edujavare.v4i01.</w:t>
          </w:r>
          <w:r w:rsidR="00D73AA6">
            <w:rPr>
              <w:rFonts w:ascii="Palatino Linotype" w:eastAsia="Palatino Linotype" w:hAnsi="Palatino Linotype" w:cs="Palatino Linotype"/>
              <w:noProof/>
              <w:color w:val="000000"/>
              <w:sz w:val="18"/>
              <w:szCs w:val="18"/>
              <w:lang w:val="en-IN"/>
            </w:rPr>
            <w:t>1928</w:t>
          </w:r>
        </w:p>
      </w:tc>
      <w:tc>
        <w:tcPr>
          <w:tcW w:w="2410" w:type="dxa"/>
        </w:tcPr>
        <w:p w14:paraId="57C67217" w14:textId="77777777" w:rsidR="00681514" w:rsidRPr="00524F3D" w:rsidRDefault="00681514" w:rsidP="00524F3D">
          <w:pPr>
            <w:spacing w:line="240" w:lineRule="auto"/>
            <w:ind w:left="-136" w:right="6"/>
            <w:jc w:val="right"/>
            <w:rPr>
              <w:rFonts w:ascii="Calisto MT" w:hAnsi="Calisto MT"/>
              <w:sz w:val="48"/>
              <w:szCs w:val="48"/>
            </w:rPr>
          </w:pPr>
          <w:r w:rsidRPr="00524F3D">
            <w:rPr>
              <w:rFonts w:ascii="Calisto MT" w:hAnsi="Calisto MT"/>
              <w:noProof/>
              <w:sz w:val="48"/>
              <w:szCs w:val="48"/>
            </w:rPr>
            <w:drawing>
              <wp:inline distT="0" distB="0" distL="0" distR="0" wp14:anchorId="0AA63C6A" wp14:editId="266861FC">
                <wp:extent cx="1371600" cy="609600"/>
                <wp:effectExtent l="0" t="0" r="0" b="0"/>
                <wp:docPr id="7970821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609600"/>
                        </a:xfrm>
                        <a:prstGeom prst="rect">
                          <a:avLst/>
                        </a:prstGeom>
                        <a:noFill/>
                      </pic:spPr>
                    </pic:pic>
                  </a:graphicData>
                </a:graphic>
              </wp:inline>
            </w:drawing>
          </w:r>
        </w:p>
      </w:tc>
    </w:tr>
  </w:tbl>
  <w:p w14:paraId="5510BB8B" w14:textId="77777777" w:rsidR="00681514" w:rsidRPr="00524F3D" w:rsidRDefault="00681514" w:rsidP="00524F3D">
    <w:pPr>
      <w:widowControl/>
      <w:spacing w:line="240" w:lineRule="auto"/>
      <w:rPr>
        <w:rFonts w:eastAsia="Times New Roman"/>
        <w:iCs/>
        <w:color w:val="0000FF"/>
        <w:sz w:val="20"/>
        <w:lang w:val="en-US"/>
      </w:rPr>
    </w:pPr>
    <w:r w:rsidRPr="00524F3D">
      <w:rPr>
        <w:rFonts w:eastAsia="Times New Roman"/>
        <w:i/>
        <w:noProof/>
        <w:sz w:val="22"/>
        <w:szCs w:val="22"/>
        <w:lang w:val="id-ID" w:eastAsia="id-ID"/>
      </w:rPr>
      <mc:AlternateContent>
        <mc:Choice Requires="wps">
          <w:drawing>
            <wp:anchor distT="0" distB="0" distL="114300" distR="114300" simplePos="0" relativeHeight="251697152" behindDoc="0" locked="0" layoutInCell="1" allowOverlap="1" wp14:anchorId="0D83D239" wp14:editId="152487BC">
              <wp:simplePos x="0" y="0"/>
              <wp:positionH relativeFrom="column">
                <wp:posOffset>635</wp:posOffset>
              </wp:positionH>
              <wp:positionV relativeFrom="paragraph">
                <wp:posOffset>79375</wp:posOffset>
              </wp:positionV>
              <wp:extent cx="5738884" cy="0"/>
              <wp:effectExtent l="0" t="19050" r="33655" b="19050"/>
              <wp:wrapNone/>
              <wp:docPr id="127" name="Straight Connector 127"/>
              <wp:cNvGraphicFramePr/>
              <a:graphic xmlns:a="http://schemas.openxmlformats.org/drawingml/2006/main">
                <a:graphicData uri="http://schemas.microsoft.com/office/word/2010/wordprocessingShape">
                  <wps:wsp>
                    <wps:cNvCnPr/>
                    <wps:spPr>
                      <a:xfrm>
                        <a:off x="0" y="0"/>
                        <a:ext cx="5738884" cy="0"/>
                      </a:xfrm>
                      <a:prstGeom prst="line">
                        <a:avLst/>
                      </a:prstGeom>
                      <a:noFill/>
                      <a:ln w="38100" cap="flat" cmpd="tri" algn="ctr">
                        <a:solidFill>
                          <a:sysClr val="windowText" lastClr="000000"/>
                        </a:solidFill>
                        <a:prstDash val="solid"/>
                        <a:miter lim="800000"/>
                      </a:ln>
                      <a:effectLst/>
                    </wps:spPr>
                    <wps:bodyPr/>
                  </wps:wsp>
                </a:graphicData>
              </a:graphic>
            </wp:anchor>
          </w:drawing>
        </mc:Choice>
        <mc:Fallback>
          <w:pict>
            <v:line w14:anchorId="0563775E" id="Straight Connector 127"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05pt,6.25pt" to="451.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" strokecolor="windowText" strokeweight="3pt">
              <v:stroke linestyle="thickBetweenThin" joinstyle="miter"/>
            </v:line>
          </w:pict>
        </mc:Fallback>
      </mc:AlternateContent>
    </w:r>
  </w:p>
  <w:p w14:paraId="7DF7ABB8" w14:textId="77777777" w:rsidR="00681514" w:rsidRPr="00DF6DDC" w:rsidRDefault="00681514" w:rsidP="00DF6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7E1248D"/>
    <w:multiLevelType w:val="hybridMultilevel"/>
    <w:tmpl w:val="F1BA149A"/>
    <w:lvl w:ilvl="0" w:tplc="0421000F">
      <w:start w:val="1"/>
      <w:numFmt w:val="decimal"/>
      <w:pStyle w:val="Alishlah37itemize"/>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5A53462"/>
    <w:multiLevelType w:val="hybridMultilevel"/>
    <w:tmpl w:val="8C0E7FAE"/>
    <w:lvl w:ilvl="0" w:tplc="B498DE1C">
      <w:start w:val="1"/>
      <w:numFmt w:val="upperLetter"/>
      <w:lvlText w:val="%1."/>
      <w:lvlJc w:val="left"/>
      <w:pPr>
        <w:ind w:left="928" w:hanging="360"/>
      </w:pPr>
      <w:rPr>
        <w:rFonts w:ascii="Times New Roman" w:eastAsia="Times New Roman" w:hAnsi="Times New Roman" w:cs="Times New Roman" w:hint="default"/>
        <w:b/>
        <w:bCs/>
        <w:i w:val="0"/>
        <w:iCs w:val="0"/>
        <w:spacing w:val="-1"/>
        <w:w w:val="100"/>
        <w:sz w:val="24"/>
        <w:szCs w:val="24"/>
        <w:lang w:val="id" w:eastAsia="en-US" w:bidi="ar-SA"/>
      </w:rPr>
    </w:lvl>
    <w:lvl w:ilvl="1" w:tplc="599E794E">
      <w:start w:val="1"/>
      <w:numFmt w:val="decimal"/>
      <w:lvlText w:val="%2."/>
      <w:lvlJc w:val="left"/>
      <w:pPr>
        <w:ind w:left="928" w:hanging="360"/>
      </w:pPr>
      <w:rPr>
        <w:rFonts w:ascii="Times New Roman" w:eastAsia="Times New Roman" w:hAnsi="Times New Roman" w:cs="Times New Roman" w:hint="default"/>
        <w:b/>
        <w:bCs/>
        <w:i w:val="0"/>
        <w:iCs w:val="0"/>
        <w:spacing w:val="0"/>
        <w:w w:val="100"/>
        <w:sz w:val="24"/>
        <w:szCs w:val="24"/>
        <w:lang w:val="id" w:eastAsia="en-US" w:bidi="ar-SA"/>
      </w:rPr>
    </w:lvl>
    <w:lvl w:ilvl="2" w:tplc="E3142512">
      <w:start w:val="2"/>
      <w:numFmt w:val="lowerLetter"/>
      <w:lvlText w:val="%3."/>
      <w:lvlJc w:val="left"/>
      <w:pPr>
        <w:ind w:left="851" w:hanging="284"/>
      </w:pPr>
      <w:rPr>
        <w:rFonts w:ascii="Times New Roman" w:eastAsia="Times New Roman" w:hAnsi="Times New Roman" w:cs="Times New Roman" w:hint="default"/>
        <w:b/>
        <w:bCs/>
        <w:i w:val="0"/>
        <w:iCs w:val="0"/>
        <w:spacing w:val="0"/>
        <w:w w:val="100"/>
        <w:sz w:val="24"/>
        <w:szCs w:val="24"/>
        <w:lang w:val="id" w:eastAsia="en-US" w:bidi="ar-SA"/>
      </w:rPr>
    </w:lvl>
    <w:lvl w:ilvl="3" w:tplc="665AF89C">
      <w:numFmt w:val="bullet"/>
      <w:lvlText w:val="•"/>
      <w:lvlJc w:val="left"/>
      <w:pPr>
        <w:ind w:left="1973" w:hanging="284"/>
      </w:pPr>
      <w:rPr>
        <w:rFonts w:hint="default"/>
        <w:lang w:val="id" w:eastAsia="en-US" w:bidi="ar-SA"/>
      </w:rPr>
    </w:lvl>
    <w:lvl w:ilvl="4" w:tplc="2CB81454">
      <w:numFmt w:val="bullet"/>
      <w:lvlText w:val="•"/>
      <w:lvlJc w:val="left"/>
      <w:pPr>
        <w:ind w:left="2947" w:hanging="284"/>
      </w:pPr>
      <w:rPr>
        <w:rFonts w:hint="default"/>
        <w:lang w:val="id" w:eastAsia="en-US" w:bidi="ar-SA"/>
      </w:rPr>
    </w:lvl>
    <w:lvl w:ilvl="5" w:tplc="235AAB3A">
      <w:numFmt w:val="bullet"/>
      <w:lvlText w:val="•"/>
      <w:lvlJc w:val="left"/>
      <w:pPr>
        <w:ind w:left="3921" w:hanging="284"/>
      </w:pPr>
      <w:rPr>
        <w:rFonts w:hint="default"/>
        <w:lang w:val="id" w:eastAsia="en-US" w:bidi="ar-SA"/>
      </w:rPr>
    </w:lvl>
    <w:lvl w:ilvl="6" w:tplc="6C22F2A8">
      <w:numFmt w:val="bullet"/>
      <w:lvlText w:val="•"/>
      <w:lvlJc w:val="left"/>
      <w:pPr>
        <w:ind w:left="4894" w:hanging="284"/>
      </w:pPr>
      <w:rPr>
        <w:rFonts w:hint="default"/>
        <w:lang w:val="id" w:eastAsia="en-US" w:bidi="ar-SA"/>
      </w:rPr>
    </w:lvl>
    <w:lvl w:ilvl="7" w:tplc="A790D588">
      <w:numFmt w:val="bullet"/>
      <w:lvlText w:val="•"/>
      <w:lvlJc w:val="left"/>
      <w:pPr>
        <w:ind w:left="5868" w:hanging="284"/>
      </w:pPr>
      <w:rPr>
        <w:rFonts w:hint="default"/>
        <w:lang w:val="id" w:eastAsia="en-US" w:bidi="ar-SA"/>
      </w:rPr>
    </w:lvl>
    <w:lvl w:ilvl="8" w:tplc="796A70C6">
      <w:numFmt w:val="bullet"/>
      <w:lvlText w:val="•"/>
      <w:lvlJc w:val="left"/>
      <w:pPr>
        <w:ind w:left="6842" w:hanging="284"/>
      </w:pPr>
      <w:rPr>
        <w:rFonts w:hint="default"/>
        <w:lang w:val="id" w:eastAsia="en-US" w:bidi="ar-SA"/>
      </w:rPr>
    </w:lvl>
  </w:abstractNum>
  <w:abstractNum w:abstractNumId="3"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41976D98"/>
    <w:multiLevelType w:val="hybridMultilevel"/>
    <w:tmpl w:val="67FEDCAC"/>
    <w:lvl w:ilvl="0" w:tplc="4B3CD008">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D4216F"/>
    <w:multiLevelType w:val="hybridMultilevel"/>
    <w:tmpl w:val="E76825DE"/>
    <w:lvl w:ilvl="0" w:tplc="0622C1DE">
      <w:start w:val="1"/>
      <w:numFmt w:val="decimal"/>
      <w:lvlText w:val="%1."/>
      <w:lvlJc w:val="left"/>
      <w:pPr>
        <w:ind w:left="720" w:hanging="360"/>
      </w:pPr>
      <w:rPr>
        <w:rFonts w:eastAsiaTheme="majorEastAsia"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0AB7F7F"/>
    <w:multiLevelType w:val="multilevel"/>
    <w:tmpl w:val="FA3EE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E7777A"/>
    <w:multiLevelType w:val="hybridMultilevel"/>
    <w:tmpl w:val="BE9E3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CE7A8A"/>
    <w:multiLevelType w:val="hybridMultilevel"/>
    <w:tmpl w:val="FCC0EE7C"/>
    <w:lvl w:ilvl="0" w:tplc="FD0652F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16cid:durableId="244193792">
    <w:abstractNumId w:val="1"/>
  </w:num>
  <w:num w:numId="2" w16cid:durableId="96678806">
    <w:abstractNumId w:val="0"/>
  </w:num>
  <w:num w:numId="3" w16cid:durableId="1714769111">
    <w:abstractNumId w:val="3"/>
  </w:num>
  <w:num w:numId="4" w16cid:durableId="1169097175">
    <w:abstractNumId w:val="6"/>
  </w:num>
  <w:num w:numId="5" w16cid:durableId="1774781836">
    <w:abstractNumId w:val="5"/>
  </w:num>
  <w:num w:numId="6" w16cid:durableId="1730953434">
    <w:abstractNumId w:val="7"/>
  </w:num>
  <w:num w:numId="7" w16cid:durableId="197667303">
    <w:abstractNumId w:val="2"/>
  </w:num>
  <w:num w:numId="8" w16cid:durableId="2074234792">
    <w:abstractNumId w:val="4"/>
  </w:num>
  <w:num w:numId="9" w16cid:durableId="211343135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LE0NDO1NDa3MDBQ0lEKTi0uzszPAymwrAUAHviW8SwAAAA="/>
  </w:docVars>
  <w:rsids>
    <w:rsidRoot w:val="00D95956"/>
    <w:rsid w:val="00001F28"/>
    <w:rsid w:val="00005F9E"/>
    <w:rsid w:val="00006A5C"/>
    <w:rsid w:val="00010EF9"/>
    <w:rsid w:val="000152E7"/>
    <w:rsid w:val="000177D3"/>
    <w:rsid w:val="00033D11"/>
    <w:rsid w:val="00044D6B"/>
    <w:rsid w:val="00064A9A"/>
    <w:rsid w:val="00065260"/>
    <w:rsid w:val="00071750"/>
    <w:rsid w:val="00081CB2"/>
    <w:rsid w:val="00087F22"/>
    <w:rsid w:val="00096DBA"/>
    <w:rsid w:val="000B638B"/>
    <w:rsid w:val="000C2C4E"/>
    <w:rsid w:val="000C3858"/>
    <w:rsid w:val="000C3A4D"/>
    <w:rsid w:val="000C4D10"/>
    <w:rsid w:val="000D1752"/>
    <w:rsid w:val="000D46D0"/>
    <w:rsid w:val="000E1497"/>
    <w:rsid w:val="000E33BF"/>
    <w:rsid w:val="000E48BB"/>
    <w:rsid w:val="0010045C"/>
    <w:rsid w:val="00105953"/>
    <w:rsid w:val="001111C6"/>
    <w:rsid w:val="00112D98"/>
    <w:rsid w:val="001177EC"/>
    <w:rsid w:val="001216BB"/>
    <w:rsid w:val="001251ED"/>
    <w:rsid w:val="001278F6"/>
    <w:rsid w:val="00130A47"/>
    <w:rsid w:val="0014178F"/>
    <w:rsid w:val="001578D5"/>
    <w:rsid w:val="00163C3F"/>
    <w:rsid w:val="00165C65"/>
    <w:rsid w:val="001750DA"/>
    <w:rsid w:val="00183321"/>
    <w:rsid w:val="00187B6B"/>
    <w:rsid w:val="001935A3"/>
    <w:rsid w:val="00197788"/>
    <w:rsid w:val="001A2370"/>
    <w:rsid w:val="001C0D91"/>
    <w:rsid w:val="001C0E60"/>
    <w:rsid w:val="001C4AE0"/>
    <w:rsid w:val="001C62FF"/>
    <w:rsid w:val="001E3BC9"/>
    <w:rsid w:val="00200763"/>
    <w:rsid w:val="00210FF5"/>
    <w:rsid w:val="00232843"/>
    <w:rsid w:val="002335E5"/>
    <w:rsid w:val="00235F93"/>
    <w:rsid w:val="00242041"/>
    <w:rsid w:val="002443C2"/>
    <w:rsid w:val="002448D8"/>
    <w:rsid w:val="002501CB"/>
    <w:rsid w:val="00251371"/>
    <w:rsid w:val="00261C83"/>
    <w:rsid w:val="00264DCA"/>
    <w:rsid w:val="002676B7"/>
    <w:rsid w:val="00273D15"/>
    <w:rsid w:val="00280FD6"/>
    <w:rsid w:val="002851B0"/>
    <w:rsid w:val="00292E51"/>
    <w:rsid w:val="00294760"/>
    <w:rsid w:val="00296D7F"/>
    <w:rsid w:val="002A4355"/>
    <w:rsid w:val="002B1A7D"/>
    <w:rsid w:val="002B2554"/>
    <w:rsid w:val="002B48BB"/>
    <w:rsid w:val="002C007F"/>
    <w:rsid w:val="002C55A3"/>
    <w:rsid w:val="002C7759"/>
    <w:rsid w:val="002D46FE"/>
    <w:rsid w:val="002E7872"/>
    <w:rsid w:val="002F3AEF"/>
    <w:rsid w:val="002F3EB7"/>
    <w:rsid w:val="002F5C17"/>
    <w:rsid w:val="0030203E"/>
    <w:rsid w:val="00302E97"/>
    <w:rsid w:val="00303DD3"/>
    <w:rsid w:val="003072C6"/>
    <w:rsid w:val="003106D7"/>
    <w:rsid w:val="00313455"/>
    <w:rsid w:val="0031556B"/>
    <w:rsid w:val="00315E46"/>
    <w:rsid w:val="003260CF"/>
    <w:rsid w:val="00332863"/>
    <w:rsid w:val="00342409"/>
    <w:rsid w:val="00344ED5"/>
    <w:rsid w:val="00346DCD"/>
    <w:rsid w:val="00347812"/>
    <w:rsid w:val="003533A3"/>
    <w:rsid w:val="00354A24"/>
    <w:rsid w:val="003645C1"/>
    <w:rsid w:val="003744B8"/>
    <w:rsid w:val="00385638"/>
    <w:rsid w:val="003914C7"/>
    <w:rsid w:val="003A7180"/>
    <w:rsid w:val="003B1BC8"/>
    <w:rsid w:val="003B2EEA"/>
    <w:rsid w:val="003C0E61"/>
    <w:rsid w:val="003C3142"/>
    <w:rsid w:val="003F5955"/>
    <w:rsid w:val="003F712E"/>
    <w:rsid w:val="0040021C"/>
    <w:rsid w:val="004035F5"/>
    <w:rsid w:val="00426C4F"/>
    <w:rsid w:val="004452C8"/>
    <w:rsid w:val="0044539C"/>
    <w:rsid w:val="00455127"/>
    <w:rsid w:val="00456CF1"/>
    <w:rsid w:val="00456F1A"/>
    <w:rsid w:val="004626A9"/>
    <w:rsid w:val="00480A5B"/>
    <w:rsid w:val="00480E7D"/>
    <w:rsid w:val="00484C48"/>
    <w:rsid w:val="00487EA7"/>
    <w:rsid w:val="004927DB"/>
    <w:rsid w:val="004A50C6"/>
    <w:rsid w:val="004B5AAE"/>
    <w:rsid w:val="004B6CC9"/>
    <w:rsid w:val="004C6ECF"/>
    <w:rsid w:val="004D4595"/>
    <w:rsid w:val="004F4AC6"/>
    <w:rsid w:val="005037E2"/>
    <w:rsid w:val="00505046"/>
    <w:rsid w:val="00506430"/>
    <w:rsid w:val="00512619"/>
    <w:rsid w:val="00522444"/>
    <w:rsid w:val="00524F3D"/>
    <w:rsid w:val="00525857"/>
    <w:rsid w:val="00526DC9"/>
    <w:rsid w:val="00531872"/>
    <w:rsid w:val="0053625E"/>
    <w:rsid w:val="00541BCF"/>
    <w:rsid w:val="005454DF"/>
    <w:rsid w:val="00552AF5"/>
    <w:rsid w:val="00560ADD"/>
    <w:rsid w:val="00561A2C"/>
    <w:rsid w:val="00561DDB"/>
    <w:rsid w:val="00573C0B"/>
    <w:rsid w:val="00573F61"/>
    <w:rsid w:val="00576372"/>
    <w:rsid w:val="005A0EF9"/>
    <w:rsid w:val="005A0F6B"/>
    <w:rsid w:val="005A5388"/>
    <w:rsid w:val="005A66AF"/>
    <w:rsid w:val="005B6423"/>
    <w:rsid w:val="005C419B"/>
    <w:rsid w:val="005D1732"/>
    <w:rsid w:val="005D3021"/>
    <w:rsid w:val="005D5062"/>
    <w:rsid w:val="005D6CA6"/>
    <w:rsid w:val="005E25CD"/>
    <w:rsid w:val="005F2A4A"/>
    <w:rsid w:val="005F40F2"/>
    <w:rsid w:val="005F546B"/>
    <w:rsid w:val="005F618A"/>
    <w:rsid w:val="005F690E"/>
    <w:rsid w:val="005F7AA3"/>
    <w:rsid w:val="006034AA"/>
    <w:rsid w:val="0061084C"/>
    <w:rsid w:val="00611842"/>
    <w:rsid w:val="00624B84"/>
    <w:rsid w:val="006261EA"/>
    <w:rsid w:val="00627989"/>
    <w:rsid w:val="00644BEC"/>
    <w:rsid w:val="00666431"/>
    <w:rsid w:val="00666B9E"/>
    <w:rsid w:val="006759E1"/>
    <w:rsid w:val="00681514"/>
    <w:rsid w:val="00682CC6"/>
    <w:rsid w:val="0068388D"/>
    <w:rsid w:val="006864DA"/>
    <w:rsid w:val="006878DF"/>
    <w:rsid w:val="0069703B"/>
    <w:rsid w:val="006A6247"/>
    <w:rsid w:val="006A7AB2"/>
    <w:rsid w:val="006B1D35"/>
    <w:rsid w:val="006B35D0"/>
    <w:rsid w:val="006B7949"/>
    <w:rsid w:val="006C251E"/>
    <w:rsid w:val="006C2772"/>
    <w:rsid w:val="006C66D8"/>
    <w:rsid w:val="006D38E2"/>
    <w:rsid w:val="006E324E"/>
    <w:rsid w:val="006F5366"/>
    <w:rsid w:val="006F6DA9"/>
    <w:rsid w:val="006F70FE"/>
    <w:rsid w:val="00716A29"/>
    <w:rsid w:val="00734255"/>
    <w:rsid w:val="00752288"/>
    <w:rsid w:val="007600B9"/>
    <w:rsid w:val="007624A7"/>
    <w:rsid w:val="00764920"/>
    <w:rsid w:val="00764CD8"/>
    <w:rsid w:val="00773150"/>
    <w:rsid w:val="00785F1E"/>
    <w:rsid w:val="00786D2F"/>
    <w:rsid w:val="00790DAC"/>
    <w:rsid w:val="00792E20"/>
    <w:rsid w:val="00792FF7"/>
    <w:rsid w:val="007A00DD"/>
    <w:rsid w:val="007A1AE7"/>
    <w:rsid w:val="007A283F"/>
    <w:rsid w:val="007A7997"/>
    <w:rsid w:val="007C2BA9"/>
    <w:rsid w:val="007C3105"/>
    <w:rsid w:val="007D09B9"/>
    <w:rsid w:val="007D3D6C"/>
    <w:rsid w:val="007E1FA9"/>
    <w:rsid w:val="008016F5"/>
    <w:rsid w:val="0080323E"/>
    <w:rsid w:val="00805D6B"/>
    <w:rsid w:val="0082725B"/>
    <w:rsid w:val="00843BC1"/>
    <w:rsid w:val="008633A4"/>
    <w:rsid w:val="0086679E"/>
    <w:rsid w:val="00875A02"/>
    <w:rsid w:val="0087610A"/>
    <w:rsid w:val="00880A8A"/>
    <w:rsid w:val="00883338"/>
    <w:rsid w:val="008B41FC"/>
    <w:rsid w:val="008D5B52"/>
    <w:rsid w:val="008E3FA0"/>
    <w:rsid w:val="00904C22"/>
    <w:rsid w:val="009106CF"/>
    <w:rsid w:val="00912349"/>
    <w:rsid w:val="00915A56"/>
    <w:rsid w:val="00926C54"/>
    <w:rsid w:val="00944E76"/>
    <w:rsid w:val="00947C84"/>
    <w:rsid w:val="0095045D"/>
    <w:rsid w:val="00953FC5"/>
    <w:rsid w:val="00962077"/>
    <w:rsid w:val="00976B37"/>
    <w:rsid w:val="00986681"/>
    <w:rsid w:val="009A181E"/>
    <w:rsid w:val="009A2F8F"/>
    <w:rsid w:val="009B0DB7"/>
    <w:rsid w:val="009C3732"/>
    <w:rsid w:val="009C4404"/>
    <w:rsid w:val="009C717E"/>
    <w:rsid w:val="009D44D5"/>
    <w:rsid w:val="009E2B14"/>
    <w:rsid w:val="009E3D14"/>
    <w:rsid w:val="009E7BE5"/>
    <w:rsid w:val="009F4B68"/>
    <w:rsid w:val="00A0024B"/>
    <w:rsid w:val="00A022DD"/>
    <w:rsid w:val="00A044C9"/>
    <w:rsid w:val="00A04AB1"/>
    <w:rsid w:val="00A057BD"/>
    <w:rsid w:val="00A06B58"/>
    <w:rsid w:val="00A10008"/>
    <w:rsid w:val="00A114E6"/>
    <w:rsid w:val="00A118CB"/>
    <w:rsid w:val="00A27839"/>
    <w:rsid w:val="00A36355"/>
    <w:rsid w:val="00A50FE7"/>
    <w:rsid w:val="00A81BF6"/>
    <w:rsid w:val="00A8739F"/>
    <w:rsid w:val="00A9074A"/>
    <w:rsid w:val="00AA0663"/>
    <w:rsid w:val="00AA1EAB"/>
    <w:rsid w:val="00AA7582"/>
    <w:rsid w:val="00AB3815"/>
    <w:rsid w:val="00AC0986"/>
    <w:rsid w:val="00AC502B"/>
    <w:rsid w:val="00AC7DD5"/>
    <w:rsid w:val="00AD0B9B"/>
    <w:rsid w:val="00AD142C"/>
    <w:rsid w:val="00AF0839"/>
    <w:rsid w:val="00AF1F5F"/>
    <w:rsid w:val="00AF6810"/>
    <w:rsid w:val="00B119D7"/>
    <w:rsid w:val="00B16300"/>
    <w:rsid w:val="00B2078A"/>
    <w:rsid w:val="00B3061E"/>
    <w:rsid w:val="00B45951"/>
    <w:rsid w:val="00B52BFD"/>
    <w:rsid w:val="00B535AB"/>
    <w:rsid w:val="00B629BD"/>
    <w:rsid w:val="00B63727"/>
    <w:rsid w:val="00B80460"/>
    <w:rsid w:val="00B81925"/>
    <w:rsid w:val="00B85E15"/>
    <w:rsid w:val="00B9274E"/>
    <w:rsid w:val="00B93A62"/>
    <w:rsid w:val="00B9539B"/>
    <w:rsid w:val="00B96183"/>
    <w:rsid w:val="00B96E8C"/>
    <w:rsid w:val="00BA0B65"/>
    <w:rsid w:val="00BA1EF2"/>
    <w:rsid w:val="00BA527B"/>
    <w:rsid w:val="00BB4DA0"/>
    <w:rsid w:val="00BB6406"/>
    <w:rsid w:val="00BC38BE"/>
    <w:rsid w:val="00BC4C51"/>
    <w:rsid w:val="00BC7139"/>
    <w:rsid w:val="00BD11D7"/>
    <w:rsid w:val="00BD1942"/>
    <w:rsid w:val="00BD5A27"/>
    <w:rsid w:val="00BD6380"/>
    <w:rsid w:val="00BF43BF"/>
    <w:rsid w:val="00BF4C36"/>
    <w:rsid w:val="00BF760A"/>
    <w:rsid w:val="00C00A20"/>
    <w:rsid w:val="00C11BE3"/>
    <w:rsid w:val="00C14036"/>
    <w:rsid w:val="00C154D0"/>
    <w:rsid w:val="00C16D9A"/>
    <w:rsid w:val="00C20B16"/>
    <w:rsid w:val="00C30CC7"/>
    <w:rsid w:val="00C3174A"/>
    <w:rsid w:val="00C4117D"/>
    <w:rsid w:val="00C4240F"/>
    <w:rsid w:val="00C52722"/>
    <w:rsid w:val="00C622A1"/>
    <w:rsid w:val="00C64F81"/>
    <w:rsid w:val="00CA0A14"/>
    <w:rsid w:val="00CA62FE"/>
    <w:rsid w:val="00CB02D7"/>
    <w:rsid w:val="00CB2407"/>
    <w:rsid w:val="00CB3F75"/>
    <w:rsid w:val="00CD0555"/>
    <w:rsid w:val="00CD6911"/>
    <w:rsid w:val="00CD77CF"/>
    <w:rsid w:val="00CE007B"/>
    <w:rsid w:val="00CE35CE"/>
    <w:rsid w:val="00CE3978"/>
    <w:rsid w:val="00CF2B60"/>
    <w:rsid w:val="00CF67EB"/>
    <w:rsid w:val="00D02605"/>
    <w:rsid w:val="00D100D8"/>
    <w:rsid w:val="00D21026"/>
    <w:rsid w:val="00D23E49"/>
    <w:rsid w:val="00D4057A"/>
    <w:rsid w:val="00D56B1B"/>
    <w:rsid w:val="00D65E8C"/>
    <w:rsid w:val="00D73AA6"/>
    <w:rsid w:val="00D83F6C"/>
    <w:rsid w:val="00D87176"/>
    <w:rsid w:val="00D93240"/>
    <w:rsid w:val="00D95956"/>
    <w:rsid w:val="00D9731A"/>
    <w:rsid w:val="00DA7807"/>
    <w:rsid w:val="00DC104C"/>
    <w:rsid w:val="00DC7E34"/>
    <w:rsid w:val="00DD3901"/>
    <w:rsid w:val="00DD5C39"/>
    <w:rsid w:val="00DF6DDC"/>
    <w:rsid w:val="00E01243"/>
    <w:rsid w:val="00E02CEB"/>
    <w:rsid w:val="00E02DA2"/>
    <w:rsid w:val="00E05545"/>
    <w:rsid w:val="00E077A3"/>
    <w:rsid w:val="00E12864"/>
    <w:rsid w:val="00E14B40"/>
    <w:rsid w:val="00E15479"/>
    <w:rsid w:val="00E16F03"/>
    <w:rsid w:val="00E32ABE"/>
    <w:rsid w:val="00E334C8"/>
    <w:rsid w:val="00E36910"/>
    <w:rsid w:val="00E376C5"/>
    <w:rsid w:val="00E45578"/>
    <w:rsid w:val="00E51EA3"/>
    <w:rsid w:val="00E75F0C"/>
    <w:rsid w:val="00E80D15"/>
    <w:rsid w:val="00E831F6"/>
    <w:rsid w:val="00E96410"/>
    <w:rsid w:val="00EB786F"/>
    <w:rsid w:val="00EE0A43"/>
    <w:rsid w:val="00EE1D49"/>
    <w:rsid w:val="00EE388E"/>
    <w:rsid w:val="00EE6081"/>
    <w:rsid w:val="00F017E2"/>
    <w:rsid w:val="00F117EA"/>
    <w:rsid w:val="00F3000E"/>
    <w:rsid w:val="00F36C46"/>
    <w:rsid w:val="00F45313"/>
    <w:rsid w:val="00F4560D"/>
    <w:rsid w:val="00F5111F"/>
    <w:rsid w:val="00F600DB"/>
    <w:rsid w:val="00F73647"/>
    <w:rsid w:val="00F74E6C"/>
    <w:rsid w:val="00F7717D"/>
    <w:rsid w:val="00F92F57"/>
    <w:rsid w:val="00F96C77"/>
    <w:rsid w:val="00FA0864"/>
    <w:rsid w:val="00FA5DFA"/>
    <w:rsid w:val="00FA7E94"/>
    <w:rsid w:val="00FB1F64"/>
    <w:rsid w:val="00FC27AA"/>
    <w:rsid w:val="00FF1327"/>
    <w:rsid w:val="00FF65E1"/>
    <w:rsid w:val="00FF6F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EF0C6"/>
  <w15:chartTrackingRefBased/>
  <w15:docId w15:val="{52F84313-4367-43F4-A85C-2FD43B5E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paragraph" w:styleId="Heading2">
    <w:name w:val="heading 2"/>
    <w:basedOn w:val="Normal"/>
    <w:next w:val="Normal"/>
    <w:link w:val="Heading2Char"/>
    <w:uiPriority w:val="9"/>
    <w:semiHidden/>
    <w:unhideWhenUsed/>
    <w:qFormat/>
    <w:rsid w:val="00315E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styleId="UnresolvedMention">
    <w:name w:val="Unresolved Mention"/>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styleId="PlainTable2">
    <w:name w:val="Plain Table 2"/>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rPr>
  </w:style>
  <w:style w:type="table" w:styleId="TableGridLight">
    <w:name w:val="Grid Table Light"/>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2"/>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after="0" w:line="240" w:lineRule="auto"/>
    </w:pPr>
    <w:rPr>
      <w:rFonts w:ascii="Calibri" w:eastAsia="Times New Roman"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numPr>
        <w:numId w:val="3"/>
      </w:numPr>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numPr>
        <w:numId w:val="1"/>
      </w:numPr>
      <w:ind w:left="425" w:hanging="425"/>
    </w:pPr>
  </w:style>
  <w:style w:type="table" w:customStyle="1" w:styleId="TableGrid3">
    <w:name w:val="Table Grid3"/>
    <w:basedOn w:val="TableNormal"/>
    <w:next w:val="TableGrid"/>
    <w:uiPriority w:val="39"/>
    <w:qFormat/>
    <w:rsid w:val="004626A9"/>
    <w:pPr>
      <w:spacing w:after="0" w:line="240" w:lineRule="auto"/>
    </w:pPr>
    <w:rPr>
      <w:rFonts w:ascii="Calibri" w:eastAsia="Times New Roman"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E1D49"/>
    <w:pPr>
      <w:widowControl/>
      <w:spacing w:before="100" w:beforeAutospacing="1" w:after="100" w:afterAutospacing="1" w:line="240" w:lineRule="auto"/>
    </w:pPr>
    <w:rPr>
      <w:rFonts w:eastAsia="Times New Roman"/>
      <w:sz w:val="24"/>
      <w:szCs w:val="24"/>
      <w:lang w:val="en-ID" w:eastAsia="en-ID"/>
    </w:rPr>
  </w:style>
  <w:style w:type="character" w:styleId="FollowedHyperlink">
    <w:name w:val="FollowedHyperlink"/>
    <w:basedOn w:val="DefaultParagraphFont"/>
    <w:uiPriority w:val="99"/>
    <w:semiHidden/>
    <w:unhideWhenUsed/>
    <w:rsid w:val="005F7AA3"/>
    <w:rPr>
      <w:color w:val="954F72" w:themeColor="followedHyperlink"/>
      <w:u w:val="single"/>
    </w:rPr>
  </w:style>
  <w:style w:type="table" w:customStyle="1" w:styleId="TableGrid4">
    <w:name w:val="Table Grid4"/>
    <w:basedOn w:val="TableNormal"/>
    <w:next w:val="TableGrid"/>
    <w:uiPriority w:val="59"/>
    <w:rsid w:val="00FC27AA"/>
    <w:pPr>
      <w:spacing w:after="0" w:line="240" w:lineRule="auto"/>
    </w:pPr>
    <w:rPr>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semiHidden/>
    <w:rsid w:val="00315E46"/>
    <w:rPr>
      <w:rFonts w:asciiTheme="majorHAnsi" w:eastAsiaTheme="majorEastAsia" w:hAnsiTheme="majorHAnsi" w:cstheme="majorBidi"/>
      <w:color w:val="2F5496" w:themeColor="accent1" w:themeShade="BF"/>
      <w:sz w:val="26"/>
      <w:szCs w:val="26"/>
      <w:lang w:val="en-GB"/>
    </w:rPr>
  </w:style>
  <w:style w:type="table" w:customStyle="1" w:styleId="Tabel1">
    <w:name w:val="Tabel1"/>
    <w:basedOn w:val="TableNormal"/>
    <w:next w:val="TableGrid"/>
    <w:uiPriority w:val="59"/>
    <w:qFormat/>
    <w:rsid w:val="00D8717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24F3D"/>
    <w:rPr>
      <w:color w:val="666666"/>
    </w:rPr>
  </w:style>
  <w:style w:type="table" w:customStyle="1" w:styleId="TableGrid21">
    <w:name w:val="Table Grid21"/>
    <w:basedOn w:val="TableNormal"/>
    <w:next w:val="TableGrid"/>
    <w:uiPriority w:val="39"/>
    <w:qFormat/>
    <w:rsid w:val="00524F3D"/>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B1F64"/>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998379">
      <w:bodyDiv w:val="1"/>
      <w:marLeft w:val="0"/>
      <w:marRight w:val="0"/>
      <w:marTop w:val="0"/>
      <w:marBottom w:val="0"/>
      <w:divBdr>
        <w:top w:val="none" w:sz="0" w:space="0" w:color="auto"/>
        <w:left w:val="none" w:sz="0" w:space="0" w:color="auto"/>
        <w:bottom w:val="none" w:sz="0" w:space="0" w:color="auto"/>
        <w:right w:val="none" w:sz="0" w:space="0" w:color="auto"/>
      </w:divBdr>
    </w:div>
    <w:div w:id="910846103">
      <w:bodyDiv w:val="1"/>
      <w:marLeft w:val="0"/>
      <w:marRight w:val="0"/>
      <w:marTop w:val="0"/>
      <w:marBottom w:val="0"/>
      <w:divBdr>
        <w:top w:val="none" w:sz="0" w:space="0" w:color="auto"/>
        <w:left w:val="none" w:sz="0" w:space="0" w:color="auto"/>
        <w:bottom w:val="none" w:sz="0" w:space="0" w:color="auto"/>
        <w:right w:val="none" w:sz="0" w:space="0" w:color="auto"/>
      </w:divBdr>
    </w:div>
    <w:div w:id="1295329715">
      <w:bodyDiv w:val="1"/>
      <w:marLeft w:val="0"/>
      <w:marRight w:val="0"/>
      <w:marTop w:val="0"/>
      <w:marBottom w:val="0"/>
      <w:divBdr>
        <w:top w:val="none" w:sz="0" w:space="0" w:color="auto"/>
        <w:left w:val="none" w:sz="0" w:space="0" w:color="auto"/>
        <w:bottom w:val="none" w:sz="0" w:space="0" w:color="auto"/>
        <w:right w:val="none" w:sz="0" w:space="0" w:color="auto"/>
      </w:divBdr>
    </w:div>
    <w:div w:id="1354913516">
      <w:bodyDiv w:val="1"/>
      <w:marLeft w:val="0"/>
      <w:marRight w:val="0"/>
      <w:marTop w:val="0"/>
      <w:marBottom w:val="0"/>
      <w:divBdr>
        <w:top w:val="none" w:sz="0" w:space="0" w:color="auto"/>
        <w:left w:val="none" w:sz="0" w:space="0" w:color="auto"/>
        <w:bottom w:val="none" w:sz="0" w:space="0" w:color="auto"/>
        <w:right w:val="none" w:sz="0" w:space="0" w:color="auto"/>
      </w:divBdr>
    </w:div>
    <w:div w:id="1588151178">
      <w:bodyDiv w:val="1"/>
      <w:marLeft w:val="0"/>
      <w:marRight w:val="0"/>
      <w:marTop w:val="0"/>
      <w:marBottom w:val="0"/>
      <w:divBdr>
        <w:top w:val="none" w:sz="0" w:space="0" w:color="auto"/>
        <w:left w:val="none" w:sz="0" w:space="0" w:color="auto"/>
        <w:bottom w:val="none" w:sz="0" w:space="0" w:color="auto"/>
        <w:right w:val="none" w:sz="0" w:space="0" w:color="auto"/>
      </w:divBdr>
    </w:div>
    <w:div w:id="203464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edujavare.com/index.php/edujav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95F2D-435F-469B-B0F6-6AA1D3377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418</TotalTime>
  <Pages>8</Pages>
  <Words>5839</Words>
  <Characters>33284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alphawin07@outlook.com</cp:lastModifiedBy>
  <cp:revision>84</cp:revision>
  <cp:lastPrinted>2026-05-13T13:21:00Z</cp:lastPrinted>
  <dcterms:created xsi:type="dcterms:W3CDTF">2026-04-17T13:07:00Z</dcterms:created>
  <dcterms:modified xsi:type="dcterms:W3CDTF">2026-08-21T16:36:00Z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nique User Id_1">
    <vt:lpwstr>8e77e18c-0c42-34a6-886d-ced7e6953be0</vt:lpwstr>
  </property>
</Properties>
</file>